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748" w:rsidRDefault="00AB6A00" w:rsidP="00F903A5">
      <w:pPr>
        <w:jc w:val="both"/>
        <w:rPr>
          <w:rFonts w:ascii="Arial" w:hAnsi="Arial" w:cs="Arial"/>
          <w:b/>
          <w:sz w:val="20"/>
          <w:szCs w:val="20"/>
        </w:rPr>
      </w:pPr>
      <w:r>
        <w:rPr>
          <w:rFonts w:ascii="Arial" w:hAnsi="Arial" w:cs="Arial"/>
          <w:b/>
          <w:sz w:val="20"/>
          <w:szCs w:val="20"/>
        </w:rPr>
        <w:t>DAC</w:t>
      </w:r>
      <w:r w:rsidR="00467BC0" w:rsidRPr="00467BC0">
        <w:rPr>
          <w:rFonts w:ascii="Arial" w:hAnsi="Arial" w:cs="Arial"/>
          <w:b/>
          <w:sz w:val="20"/>
          <w:szCs w:val="20"/>
        </w:rPr>
        <w:t xml:space="preserve">: </w:t>
      </w:r>
      <w:r w:rsidR="00CB18FC">
        <w:rPr>
          <w:rFonts w:ascii="Arial" w:hAnsi="Arial" w:cs="Arial"/>
          <w:b/>
          <w:sz w:val="20"/>
          <w:szCs w:val="20"/>
        </w:rPr>
        <w:t>General Mandate 2020</w:t>
      </w:r>
      <w:r w:rsidR="00A06443">
        <w:rPr>
          <w:rFonts w:ascii="Arial" w:hAnsi="Arial" w:cs="Arial"/>
          <w:b/>
          <w:sz w:val="20"/>
          <w:szCs w:val="20"/>
        </w:rPr>
        <w:t xml:space="preserve"> </w:t>
      </w:r>
    </w:p>
    <w:p w:rsidR="00467BC0" w:rsidRDefault="00B70D7E" w:rsidP="00F903A5">
      <w:pPr>
        <w:jc w:val="both"/>
        <w:rPr>
          <w:rFonts w:ascii="Arial" w:hAnsi="Arial" w:cs="Arial"/>
          <w:sz w:val="20"/>
          <w:szCs w:val="20"/>
        </w:rPr>
      </w:pPr>
      <w:r>
        <w:rPr>
          <w:rFonts w:ascii="Arial" w:hAnsi="Arial" w:cs="Arial"/>
          <w:sz w:val="20"/>
          <w:szCs w:val="20"/>
        </w:rPr>
        <w:t xml:space="preserve">On </w:t>
      </w:r>
      <w:r w:rsidR="00AB6A00">
        <w:rPr>
          <w:rFonts w:ascii="Arial" w:hAnsi="Arial" w:cs="Arial"/>
          <w:sz w:val="20"/>
          <w:szCs w:val="20"/>
        </w:rPr>
        <w:t>19</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AB6A00" w:rsidRPr="00AB6A00">
        <w:rPr>
          <w:rFonts w:ascii="Arial" w:hAnsi="Arial" w:cs="Arial"/>
          <w:sz w:val="20"/>
          <w:szCs w:val="20"/>
        </w:rPr>
        <w:t>Viglacera</w:t>
      </w:r>
      <w:proofErr w:type="spellEnd"/>
      <w:r w:rsidR="00AB6A00" w:rsidRPr="00AB6A00">
        <w:rPr>
          <w:rFonts w:ascii="Arial" w:hAnsi="Arial" w:cs="Arial"/>
          <w:sz w:val="20"/>
          <w:szCs w:val="20"/>
        </w:rPr>
        <w:t xml:space="preserve"> Dong </w:t>
      </w:r>
      <w:proofErr w:type="spellStart"/>
      <w:r w:rsidR="00AB6A00" w:rsidRPr="00AB6A00">
        <w:rPr>
          <w:rFonts w:ascii="Arial" w:hAnsi="Arial" w:cs="Arial"/>
          <w:sz w:val="20"/>
          <w:szCs w:val="20"/>
        </w:rPr>
        <w:t>Anh</w:t>
      </w:r>
      <w:proofErr w:type="spellEnd"/>
      <w:r w:rsidR="00AB6A00" w:rsidRPr="00AB6A00">
        <w:rPr>
          <w:rFonts w:ascii="Arial" w:hAnsi="Arial" w:cs="Arial"/>
          <w:sz w:val="20"/>
          <w:szCs w:val="20"/>
        </w:rPr>
        <w:t xml:space="preserve"> </w:t>
      </w:r>
      <w:r w:rsidR="00AB6A00">
        <w:rPr>
          <w:rFonts w:ascii="Arial" w:hAnsi="Arial" w:cs="Arial"/>
          <w:sz w:val="20"/>
          <w:szCs w:val="20"/>
        </w:rPr>
        <w:t xml:space="preserve">Joint Stock Company </w:t>
      </w:r>
      <w:r w:rsidR="002E7FD0">
        <w:rPr>
          <w:rFonts w:ascii="Arial" w:hAnsi="Arial" w:cs="Arial"/>
          <w:sz w:val="20"/>
          <w:szCs w:val="20"/>
        </w:rPr>
        <w:t>announced the</w:t>
      </w:r>
      <w:r w:rsidR="008134FC">
        <w:rPr>
          <w:rFonts w:ascii="Arial" w:hAnsi="Arial" w:cs="Arial"/>
          <w:sz w:val="20"/>
          <w:szCs w:val="20"/>
        </w:rPr>
        <w:t xml:space="preserve"> </w:t>
      </w:r>
      <w:r w:rsidR="00CB18FC">
        <w:rPr>
          <w:rFonts w:ascii="Arial" w:hAnsi="Arial" w:cs="Arial"/>
          <w:sz w:val="20"/>
          <w:szCs w:val="20"/>
        </w:rPr>
        <w:t>General Mandate 2020</w:t>
      </w:r>
      <w:r w:rsidR="008134FC">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AB6A00" w:rsidRDefault="00AB6A00" w:rsidP="00F903A5">
      <w:pPr>
        <w:jc w:val="both"/>
        <w:rPr>
          <w:rFonts w:ascii="Arial" w:hAnsi="Arial" w:cs="Arial"/>
          <w:sz w:val="20"/>
          <w:szCs w:val="20"/>
        </w:rPr>
      </w:pPr>
      <w:r>
        <w:rPr>
          <w:rFonts w:ascii="Arial" w:hAnsi="Arial" w:cs="Arial"/>
          <w:sz w:val="20"/>
          <w:szCs w:val="20"/>
        </w:rPr>
        <w:t xml:space="preserve">Article 1: </w:t>
      </w:r>
      <w:r w:rsidRPr="00AB6A00">
        <w:rPr>
          <w:rFonts w:ascii="Arial" w:hAnsi="Arial" w:cs="Arial"/>
          <w:sz w:val="20"/>
          <w:szCs w:val="20"/>
        </w:rPr>
        <w:t xml:space="preserve">Approve the following contents: </w:t>
      </w:r>
    </w:p>
    <w:p w:rsidR="00AB6A00" w:rsidRDefault="00AB6A00" w:rsidP="00F903A5">
      <w:pPr>
        <w:jc w:val="both"/>
        <w:rPr>
          <w:rFonts w:ascii="Arial" w:hAnsi="Arial" w:cs="Arial"/>
          <w:sz w:val="20"/>
          <w:szCs w:val="20"/>
        </w:rPr>
      </w:pPr>
      <w:r>
        <w:rPr>
          <w:rFonts w:ascii="Arial" w:hAnsi="Arial" w:cs="Arial"/>
          <w:sz w:val="20"/>
          <w:szCs w:val="20"/>
        </w:rPr>
        <w:t xml:space="preserve">1. </w:t>
      </w:r>
      <w:r w:rsidRPr="00AB6A00">
        <w:rPr>
          <w:rFonts w:ascii="Arial" w:hAnsi="Arial" w:cs="Arial"/>
          <w:sz w:val="20"/>
          <w:szCs w:val="20"/>
        </w:rPr>
        <w:t>The report</w:t>
      </w:r>
      <w:r>
        <w:rPr>
          <w:rFonts w:ascii="Arial" w:hAnsi="Arial" w:cs="Arial"/>
          <w:sz w:val="20"/>
          <w:szCs w:val="20"/>
        </w:rPr>
        <w:t xml:space="preserve"> on business results in 2019</w:t>
      </w:r>
      <w:r w:rsidRPr="00AB6A00">
        <w:rPr>
          <w:rFonts w:ascii="Arial" w:hAnsi="Arial" w:cs="Arial"/>
          <w:sz w:val="20"/>
          <w:szCs w:val="20"/>
        </w:rPr>
        <w:t xml:space="preserve"> audited by AASC Auditing</w:t>
      </w:r>
      <w:r>
        <w:rPr>
          <w:rFonts w:ascii="Arial" w:hAnsi="Arial" w:cs="Arial"/>
          <w:sz w:val="20"/>
          <w:szCs w:val="20"/>
        </w:rPr>
        <w:t xml:space="preserve"> Firm</w:t>
      </w:r>
      <w:r w:rsidRPr="00AB6A00">
        <w:rPr>
          <w:rFonts w:ascii="Arial" w:hAnsi="Arial" w:cs="Arial"/>
          <w:sz w:val="20"/>
          <w:szCs w:val="20"/>
        </w:rPr>
        <w:t xml:space="preserve"> Company Limited (AASC), as follows: </w:t>
      </w:r>
    </w:p>
    <w:tbl>
      <w:tblPr>
        <w:tblStyle w:val="TableGrid"/>
        <w:tblW w:w="0" w:type="auto"/>
        <w:tblLook w:val="04A0" w:firstRow="1" w:lastRow="0" w:firstColumn="1" w:lastColumn="0" w:noHBand="0" w:noVBand="1"/>
      </w:tblPr>
      <w:tblGrid>
        <w:gridCol w:w="472"/>
        <w:gridCol w:w="2516"/>
        <w:gridCol w:w="1835"/>
        <w:gridCol w:w="1576"/>
        <w:gridCol w:w="1588"/>
        <w:gridCol w:w="1589"/>
      </w:tblGrid>
      <w:tr w:rsidR="00AB6A00" w:rsidTr="00AB6A00">
        <w:tc>
          <w:tcPr>
            <w:tcW w:w="472" w:type="dxa"/>
            <w:vMerge w:val="restart"/>
          </w:tcPr>
          <w:p w:rsidR="00AB6A00" w:rsidRDefault="00AB6A00" w:rsidP="00F903A5">
            <w:pPr>
              <w:jc w:val="both"/>
              <w:rPr>
                <w:rFonts w:ascii="Arial" w:hAnsi="Arial" w:cs="Arial"/>
                <w:sz w:val="20"/>
                <w:szCs w:val="20"/>
              </w:rPr>
            </w:pPr>
            <w:r>
              <w:rPr>
                <w:rFonts w:ascii="Arial" w:hAnsi="Arial" w:cs="Arial"/>
                <w:sz w:val="20"/>
                <w:szCs w:val="20"/>
              </w:rPr>
              <w:t>No</w:t>
            </w:r>
          </w:p>
        </w:tc>
        <w:tc>
          <w:tcPr>
            <w:tcW w:w="2516" w:type="dxa"/>
            <w:vMerge w:val="restart"/>
          </w:tcPr>
          <w:p w:rsidR="00AB6A00" w:rsidRDefault="00AB6A00" w:rsidP="00F903A5">
            <w:pPr>
              <w:jc w:val="both"/>
              <w:rPr>
                <w:rFonts w:ascii="Arial" w:hAnsi="Arial" w:cs="Arial"/>
                <w:sz w:val="20"/>
                <w:szCs w:val="20"/>
              </w:rPr>
            </w:pPr>
            <w:r>
              <w:rPr>
                <w:rFonts w:ascii="Arial" w:hAnsi="Arial" w:cs="Arial"/>
                <w:sz w:val="20"/>
                <w:szCs w:val="20"/>
              </w:rPr>
              <w:t>Indicators</w:t>
            </w:r>
          </w:p>
        </w:tc>
        <w:tc>
          <w:tcPr>
            <w:tcW w:w="1835" w:type="dxa"/>
            <w:vMerge w:val="restart"/>
          </w:tcPr>
          <w:p w:rsidR="00AB6A00" w:rsidRDefault="00AB6A00" w:rsidP="00F903A5">
            <w:pPr>
              <w:jc w:val="both"/>
              <w:rPr>
                <w:rFonts w:ascii="Arial" w:hAnsi="Arial" w:cs="Arial"/>
                <w:sz w:val="20"/>
                <w:szCs w:val="20"/>
              </w:rPr>
            </w:pPr>
            <w:r>
              <w:rPr>
                <w:rFonts w:ascii="Arial" w:hAnsi="Arial" w:cs="Arial"/>
                <w:sz w:val="20"/>
                <w:szCs w:val="20"/>
              </w:rPr>
              <w:t>Unit</w:t>
            </w:r>
          </w:p>
        </w:tc>
        <w:tc>
          <w:tcPr>
            <w:tcW w:w="3164" w:type="dxa"/>
            <w:gridSpan w:val="2"/>
          </w:tcPr>
          <w:p w:rsidR="00AB6A00" w:rsidRDefault="00AB6A00" w:rsidP="00AB6A00">
            <w:pPr>
              <w:jc w:val="center"/>
              <w:rPr>
                <w:rFonts w:ascii="Arial" w:hAnsi="Arial" w:cs="Arial"/>
                <w:sz w:val="20"/>
                <w:szCs w:val="20"/>
              </w:rPr>
            </w:pPr>
            <w:r>
              <w:rPr>
                <w:rFonts w:ascii="Arial" w:hAnsi="Arial" w:cs="Arial"/>
                <w:sz w:val="20"/>
                <w:szCs w:val="20"/>
              </w:rPr>
              <w:t>Year 2019</w:t>
            </w:r>
          </w:p>
        </w:tc>
        <w:tc>
          <w:tcPr>
            <w:tcW w:w="1589" w:type="dxa"/>
          </w:tcPr>
          <w:p w:rsidR="00AB6A00" w:rsidRDefault="00AB6A00" w:rsidP="00F903A5">
            <w:pPr>
              <w:jc w:val="both"/>
              <w:rPr>
                <w:rFonts w:ascii="Arial" w:hAnsi="Arial" w:cs="Arial"/>
                <w:sz w:val="20"/>
                <w:szCs w:val="20"/>
              </w:rPr>
            </w:pPr>
            <w:r>
              <w:rPr>
                <w:rFonts w:ascii="Arial" w:hAnsi="Arial" w:cs="Arial"/>
                <w:sz w:val="20"/>
                <w:szCs w:val="20"/>
              </w:rPr>
              <w:t xml:space="preserve">Rate </w:t>
            </w:r>
          </w:p>
          <w:p w:rsidR="00AB6A00" w:rsidRDefault="00AB6A00" w:rsidP="00F903A5">
            <w:pPr>
              <w:jc w:val="both"/>
              <w:rPr>
                <w:rFonts w:ascii="Arial" w:hAnsi="Arial" w:cs="Arial"/>
                <w:sz w:val="20"/>
                <w:szCs w:val="20"/>
              </w:rPr>
            </w:pPr>
            <w:r>
              <w:rPr>
                <w:rFonts w:ascii="Arial" w:hAnsi="Arial" w:cs="Arial"/>
                <w:sz w:val="20"/>
                <w:szCs w:val="20"/>
              </w:rPr>
              <w:t>Realization/ Plan (%)</w:t>
            </w:r>
          </w:p>
        </w:tc>
      </w:tr>
      <w:tr w:rsidR="00AB6A00" w:rsidTr="00AB6A00">
        <w:tc>
          <w:tcPr>
            <w:tcW w:w="472" w:type="dxa"/>
            <w:vMerge/>
          </w:tcPr>
          <w:p w:rsidR="00AB6A00" w:rsidRDefault="00AB6A00" w:rsidP="00F903A5">
            <w:pPr>
              <w:jc w:val="both"/>
              <w:rPr>
                <w:rFonts w:ascii="Arial" w:hAnsi="Arial" w:cs="Arial"/>
                <w:sz w:val="20"/>
                <w:szCs w:val="20"/>
              </w:rPr>
            </w:pPr>
          </w:p>
        </w:tc>
        <w:tc>
          <w:tcPr>
            <w:tcW w:w="2516" w:type="dxa"/>
            <w:vMerge/>
          </w:tcPr>
          <w:p w:rsidR="00AB6A00" w:rsidRDefault="00AB6A00" w:rsidP="00F903A5">
            <w:pPr>
              <w:jc w:val="both"/>
              <w:rPr>
                <w:rFonts w:ascii="Arial" w:hAnsi="Arial" w:cs="Arial"/>
                <w:sz w:val="20"/>
                <w:szCs w:val="20"/>
              </w:rPr>
            </w:pPr>
          </w:p>
        </w:tc>
        <w:tc>
          <w:tcPr>
            <w:tcW w:w="1835" w:type="dxa"/>
            <w:vMerge/>
          </w:tcPr>
          <w:p w:rsidR="00AB6A00" w:rsidRDefault="00AB6A00" w:rsidP="00F903A5">
            <w:pPr>
              <w:jc w:val="both"/>
              <w:rPr>
                <w:rFonts w:ascii="Arial" w:hAnsi="Arial" w:cs="Arial"/>
                <w:sz w:val="20"/>
                <w:szCs w:val="20"/>
              </w:rPr>
            </w:pPr>
          </w:p>
        </w:tc>
        <w:tc>
          <w:tcPr>
            <w:tcW w:w="1576" w:type="dxa"/>
          </w:tcPr>
          <w:p w:rsidR="00AB6A00" w:rsidRDefault="00AB6A00" w:rsidP="00AB6A00">
            <w:pPr>
              <w:jc w:val="center"/>
              <w:rPr>
                <w:rFonts w:ascii="Arial" w:hAnsi="Arial" w:cs="Arial"/>
                <w:sz w:val="20"/>
                <w:szCs w:val="20"/>
              </w:rPr>
            </w:pPr>
            <w:r>
              <w:rPr>
                <w:rFonts w:ascii="Arial" w:hAnsi="Arial" w:cs="Arial"/>
                <w:sz w:val="20"/>
                <w:szCs w:val="20"/>
              </w:rPr>
              <w:t>Plan</w:t>
            </w:r>
          </w:p>
        </w:tc>
        <w:tc>
          <w:tcPr>
            <w:tcW w:w="1588" w:type="dxa"/>
          </w:tcPr>
          <w:p w:rsidR="00AB6A00" w:rsidRDefault="00AB6A00" w:rsidP="00AB6A00">
            <w:pPr>
              <w:jc w:val="center"/>
              <w:rPr>
                <w:rFonts w:ascii="Arial" w:hAnsi="Arial" w:cs="Arial"/>
                <w:sz w:val="20"/>
                <w:szCs w:val="20"/>
              </w:rPr>
            </w:pPr>
            <w:r>
              <w:rPr>
                <w:rFonts w:ascii="Arial" w:hAnsi="Arial" w:cs="Arial"/>
                <w:sz w:val="20"/>
                <w:szCs w:val="20"/>
              </w:rPr>
              <w:t>Realization</w:t>
            </w:r>
          </w:p>
        </w:tc>
        <w:tc>
          <w:tcPr>
            <w:tcW w:w="1589" w:type="dxa"/>
          </w:tcPr>
          <w:p w:rsidR="00AB6A00" w:rsidRDefault="00AB6A00" w:rsidP="00F903A5">
            <w:pPr>
              <w:jc w:val="both"/>
              <w:rPr>
                <w:rFonts w:ascii="Arial" w:hAnsi="Arial" w:cs="Arial"/>
                <w:sz w:val="20"/>
                <w:szCs w:val="20"/>
              </w:rPr>
            </w:pPr>
          </w:p>
        </w:tc>
      </w:tr>
      <w:tr w:rsidR="00AB6A00" w:rsidTr="00AB6A00">
        <w:tc>
          <w:tcPr>
            <w:tcW w:w="472" w:type="dxa"/>
          </w:tcPr>
          <w:p w:rsidR="00AB6A00" w:rsidRDefault="00AB6A00" w:rsidP="00F903A5">
            <w:pPr>
              <w:jc w:val="both"/>
              <w:rPr>
                <w:rFonts w:ascii="Arial" w:hAnsi="Arial" w:cs="Arial"/>
                <w:sz w:val="20"/>
                <w:szCs w:val="20"/>
              </w:rPr>
            </w:pPr>
            <w:r>
              <w:rPr>
                <w:rFonts w:ascii="Arial" w:hAnsi="Arial" w:cs="Arial"/>
                <w:sz w:val="20"/>
                <w:szCs w:val="20"/>
              </w:rPr>
              <w:t>1</w:t>
            </w:r>
          </w:p>
        </w:tc>
        <w:tc>
          <w:tcPr>
            <w:tcW w:w="2516" w:type="dxa"/>
          </w:tcPr>
          <w:p w:rsidR="00AB6A00" w:rsidRDefault="00AB6A00" w:rsidP="00F903A5">
            <w:pPr>
              <w:jc w:val="both"/>
              <w:rPr>
                <w:rFonts w:ascii="Arial" w:hAnsi="Arial" w:cs="Arial"/>
                <w:sz w:val="20"/>
                <w:szCs w:val="20"/>
              </w:rPr>
            </w:pPr>
            <w:r w:rsidRPr="00AB6A00">
              <w:rPr>
                <w:rFonts w:ascii="Arial" w:hAnsi="Arial" w:cs="Arial"/>
                <w:sz w:val="20"/>
                <w:szCs w:val="20"/>
              </w:rPr>
              <w:t>Profit before tax</w:t>
            </w:r>
          </w:p>
        </w:tc>
        <w:tc>
          <w:tcPr>
            <w:tcW w:w="1835" w:type="dxa"/>
          </w:tcPr>
          <w:p w:rsidR="00AB6A00" w:rsidRDefault="00AB6A00" w:rsidP="00F903A5">
            <w:pPr>
              <w:jc w:val="both"/>
              <w:rPr>
                <w:rFonts w:ascii="Arial" w:hAnsi="Arial" w:cs="Arial"/>
                <w:sz w:val="20"/>
                <w:szCs w:val="20"/>
              </w:rPr>
            </w:pPr>
            <w:r>
              <w:rPr>
                <w:rFonts w:ascii="Arial" w:hAnsi="Arial" w:cs="Arial"/>
                <w:sz w:val="20"/>
                <w:szCs w:val="20"/>
              </w:rPr>
              <w:t xml:space="preserve">Million dongs </w:t>
            </w:r>
          </w:p>
        </w:tc>
        <w:tc>
          <w:tcPr>
            <w:tcW w:w="1576" w:type="dxa"/>
          </w:tcPr>
          <w:p w:rsidR="00AB6A00" w:rsidRDefault="00AB6A00" w:rsidP="00F903A5">
            <w:pPr>
              <w:jc w:val="both"/>
              <w:rPr>
                <w:rFonts w:ascii="Arial" w:hAnsi="Arial" w:cs="Arial"/>
                <w:sz w:val="20"/>
                <w:szCs w:val="20"/>
              </w:rPr>
            </w:pPr>
            <w:r w:rsidRPr="00AB6A00">
              <w:rPr>
                <w:rFonts w:ascii="Arial" w:hAnsi="Arial" w:cs="Arial"/>
                <w:sz w:val="20"/>
                <w:szCs w:val="20"/>
              </w:rPr>
              <w:t>1</w:t>
            </w:r>
            <w:r>
              <w:rPr>
                <w:rFonts w:ascii="Arial" w:hAnsi="Arial" w:cs="Arial"/>
                <w:sz w:val="20"/>
                <w:szCs w:val="20"/>
              </w:rPr>
              <w:t>,</w:t>
            </w:r>
            <w:r w:rsidRPr="00AB6A00">
              <w:rPr>
                <w:rFonts w:ascii="Arial" w:hAnsi="Arial" w:cs="Arial"/>
                <w:sz w:val="20"/>
                <w:szCs w:val="20"/>
              </w:rPr>
              <w:t>000</w:t>
            </w:r>
          </w:p>
        </w:tc>
        <w:tc>
          <w:tcPr>
            <w:tcW w:w="1588" w:type="dxa"/>
          </w:tcPr>
          <w:p w:rsidR="00AB6A00" w:rsidRDefault="00AB6A00" w:rsidP="00F903A5">
            <w:pPr>
              <w:jc w:val="both"/>
              <w:rPr>
                <w:rFonts w:ascii="Arial" w:hAnsi="Arial" w:cs="Arial"/>
                <w:sz w:val="20"/>
                <w:szCs w:val="20"/>
              </w:rPr>
            </w:pPr>
            <w:r>
              <w:rPr>
                <w:rFonts w:ascii="Arial" w:hAnsi="Arial" w:cs="Arial"/>
                <w:sz w:val="20"/>
                <w:szCs w:val="20"/>
              </w:rPr>
              <w:t>-</w:t>
            </w:r>
            <w:r w:rsidRPr="00AB6A00">
              <w:rPr>
                <w:rFonts w:ascii="Arial" w:hAnsi="Arial" w:cs="Arial"/>
                <w:sz w:val="20"/>
                <w:szCs w:val="20"/>
              </w:rPr>
              <w:t>917</w:t>
            </w:r>
          </w:p>
        </w:tc>
        <w:tc>
          <w:tcPr>
            <w:tcW w:w="1589" w:type="dxa"/>
          </w:tcPr>
          <w:p w:rsidR="00AB6A00" w:rsidRDefault="00AB6A00" w:rsidP="00F903A5">
            <w:pPr>
              <w:jc w:val="both"/>
              <w:rPr>
                <w:rFonts w:ascii="Arial" w:hAnsi="Arial" w:cs="Arial"/>
                <w:sz w:val="20"/>
                <w:szCs w:val="20"/>
              </w:rPr>
            </w:pPr>
            <w:r w:rsidRPr="00AB6A00">
              <w:rPr>
                <w:rFonts w:ascii="Arial" w:hAnsi="Arial" w:cs="Arial"/>
                <w:sz w:val="20"/>
                <w:szCs w:val="20"/>
              </w:rPr>
              <w:t>91</w:t>
            </w:r>
            <w:r>
              <w:rPr>
                <w:rFonts w:ascii="Arial" w:hAnsi="Arial" w:cs="Arial"/>
                <w:sz w:val="20"/>
                <w:szCs w:val="20"/>
              </w:rPr>
              <w:t>.</w:t>
            </w:r>
            <w:r w:rsidRPr="00AB6A00">
              <w:rPr>
                <w:rFonts w:ascii="Arial" w:hAnsi="Arial" w:cs="Arial"/>
                <w:sz w:val="20"/>
                <w:szCs w:val="20"/>
              </w:rPr>
              <w:t>70%</w:t>
            </w:r>
          </w:p>
        </w:tc>
      </w:tr>
      <w:tr w:rsidR="00AB6A00" w:rsidTr="00AB6A00">
        <w:tc>
          <w:tcPr>
            <w:tcW w:w="472" w:type="dxa"/>
          </w:tcPr>
          <w:p w:rsidR="00AB6A00" w:rsidRDefault="00AB6A00" w:rsidP="00F903A5">
            <w:pPr>
              <w:jc w:val="both"/>
              <w:rPr>
                <w:rFonts w:ascii="Arial" w:hAnsi="Arial" w:cs="Arial"/>
                <w:sz w:val="20"/>
                <w:szCs w:val="20"/>
              </w:rPr>
            </w:pPr>
            <w:r>
              <w:rPr>
                <w:rFonts w:ascii="Arial" w:hAnsi="Arial" w:cs="Arial"/>
                <w:sz w:val="20"/>
                <w:szCs w:val="20"/>
              </w:rPr>
              <w:t>2</w:t>
            </w:r>
          </w:p>
        </w:tc>
        <w:tc>
          <w:tcPr>
            <w:tcW w:w="2516" w:type="dxa"/>
          </w:tcPr>
          <w:p w:rsidR="00AB6A00" w:rsidRDefault="00AB6A00" w:rsidP="00F903A5">
            <w:pPr>
              <w:jc w:val="both"/>
              <w:rPr>
                <w:rFonts w:ascii="Arial" w:hAnsi="Arial" w:cs="Arial"/>
                <w:sz w:val="20"/>
                <w:szCs w:val="20"/>
              </w:rPr>
            </w:pPr>
            <w:r w:rsidRPr="00AB6A00">
              <w:rPr>
                <w:rFonts w:ascii="Arial" w:hAnsi="Arial" w:cs="Arial"/>
                <w:sz w:val="20"/>
                <w:szCs w:val="20"/>
              </w:rPr>
              <w:t>Revenue</w:t>
            </w:r>
          </w:p>
        </w:tc>
        <w:tc>
          <w:tcPr>
            <w:tcW w:w="1835" w:type="dxa"/>
          </w:tcPr>
          <w:p w:rsidR="00AB6A00" w:rsidRDefault="00AB6A00">
            <w:r w:rsidRPr="003F442F">
              <w:rPr>
                <w:rFonts w:ascii="Arial" w:hAnsi="Arial" w:cs="Arial"/>
                <w:sz w:val="20"/>
                <w:szCs w:val="20"/>
              </w:rPr>
              <w:t xml:space="preserve">Million dongs </w:t>
            </w:r>
          </w:p>
        </w:tc>
        <w:tc>
          <w:tcPr>
            <w:tcW w:w="1576" w:type="dxa"/>
          </w:tcPr>
          <w:p w:rsidR="00AB6A00" w:rsidRDefault="00AB6A00" w:rsidP="00F903A5">
            <w:pPr>
              <w:jc w:val="both"/>
              <w:rPr>
                <w:rFonts w:ascii="Arial" w:hAnsi="Arial" w:cs="Arial"/>
                <w:sz w:val="20"/>
                <w:szCs w:val="20"/>
              </w:rPr>
            </w:pPr>
            <w:r w:rsidRPr="00AB6A00">
              <w:rPr>
                <w:rFonts w:ascii="Arial" w:hAnsi="Arial" w:cs="Arial"/>
                <w:sz w:val="20"/>
                <w:szCs w:val="20"/>
              </w:rPr>
              <w:t>58</w:t>
            </w:r>
            <w:r>
              <w:rPr>
                <w:rFonts w:ascii="Arial" w:hAnsi="Arial" w:cs="Arial"/>
                <w:sz w:val="20"/>
                <w:szCs w:val="20"/>
              </w:rPr>
              <w:t>,</w:t>
            </w:r>
            <w:r w:rsidRPr="00AB6A00">
              <w:rPr>
                <w:rFonts w:ascii="Arial" w:hAnsi="Arial" w:cs="Arial"/>
                <w:sz w:val="20"/>
                <w:szCs w:val="20"/>
              </w:rPr>
              <w:t>700</w:t>
            </w:r>
          </w:p>
        </w:tc>
        <w:tc>
          <w:tcPr>
            <w:tcW w:w="1588" w:type="dxa"/>
          </w:tcPr>
          <w:p w:rsidR="00AB6A00" w:rsidRDefault="00AB6A00" w:rsidP="00F903A5">
            <w:pPr>
              <w:jc w:val="both"/>
              <w:rPr>
                <w:rFonts w:ascii="Arial" w:hAnsi="Arial" w:cs="Arial"/>
                <w:sz w:val="20"/>
                <w:szCs w:val="20"/>
              </w:rPr>
            </w:pPr>
            <w:r w:rsidRPr="00AB6A00">
              <w:rPr>
                <w:rFonts w:ascii="Arial" w:hAnsi="Arial" w:cs="Arial"/>
                <w:sz w:val="20"/>
                <w:szCs w:val="20"/>
              </w:rPr>
              <w:t>52</w:t>
            </w:r>
            <w:r>
              <w:rPr>
                <w:rFonts w:ascii="Arial" w:hAnsi="Arial" w:cs="Arial"/>
                <w:sz w:val="20"/>
                <w:szCs w:val="20"/>
              </w:rPr>
              <w:t>,</w:t>
            </w:r>
            <w:r w:rsidRPr="00AB6A00">
              <w:rPr>
                <w:rFonts w:ascii="Arial" w:hAnsi="Arial" w:cs="Arial"/>
                <w:sz w:val="20"/>
                <w:szCs w:val="20"/>
              </w:rPr>
              <w:t>265</w:t>
            </w:r>
          </w:p>
        </w:tc>
        <w:tc>
          <w:tcPr>
            <w:tcW w:w="1589" w:type="dxa"/>
          </w:tcPr>
          <w:p w:rsidR="00AB6A00" w:rsidRDefault="00AB6A00" w:rsidP="00F903A5">
            <w:pPr>
              <w:jc w:val="both"/>
              <w:rPr>
                <w:rFonts w:ascii="Arial" w:hAnsi="Arial" w:cs="Arial"/>
                <w:sz w:val="20"/>
                <w:szCs w:val="20"/>
              </w:rPr>
            </w:pPr>
            <w:r w:rsidRPr="00AB6A00">
              <w:rPr>
                <w:rFonts w:ascii="Arial" w:hAnsi="Arial" w:cs="Arial"/>
                <w:sz w:val="20"/>
                <w:szCs w:val="20"/>
              </w:rPr>
              <w:t>89</w:t>
            </w:r>
            <w:r>
              <w:rPr>
                <w:rFonts w:ascii="Arial" w:hAnsi="Arial" w:cs="Arial"/>
                <w:sz w:val="20"/>
                <w:szCs w:val="20"/>
              </w:rPr>
              <w:t>.</w:t>
            </w:r>
            <w:r w:rsidRPr="00AB6A00">
              <w:rPr>
                <w:rFonts w:ascii="Arial" w:hAnsi="Arial" w:cs="Arial"/>
                <w:sz w:val="20"/>
                <w:szCs w:val="20"/>
              </w:rPr>
              <w:t>04%</w:t>
            </w:r>
          </w:p>
        </w:tc>
      </w:tr>
      <w:tr w:rsidR="00AB6A00" w:rsidTr="00AB6A00">
        <w:tc>
          <w:tcPr>
            <w:tcW w:w="472" w:type="dxa"/>
          </w:tcPr>
          <w:p w:rsidR="00AB6A00" w:rsidRDefault="00AB6A00" w:rsidP="00F903A5">
            <w:pPr>
              <w:jc w:val="both"/>
              <w:rPr>
                <w:rFonts w:ascii="Arial" w:hAnsi="Arial" w:cs="Arial"/>
                <w:sz w:val="20"/>
                <w:szCs w:val="20"/>
              </w:rPr>
            </w:pPr>
            <w:r>
              <w:rPr>
                <w:rFonts w:ascii="Arial" w:hAnsi="Arial" w:cs="Arial"/>
                <w:sz w:val="20"/>
                <w:szCs w:val="20"/>
              </w:rPr>
              <w:t>3</w:t>
            </w:r>
          </w:p>
        </w:tc>
        <w:tc>
          <w:tcPr>
            <w:tcW w:w="2516" w:type="dxa"/>
          </w:tcPr>
          <w:p w:rsidR="00AB6A00" w:rsidRDefault="00AB6A00" w:rsidP="00F903A5">
            <w:pPr>
              <w:jc w:val="both"/>
              <w:rPr>
                <w:rFonts w:ascii="Arial" w:hAnsi="Arial" w:cs="Arial"/>
                <w:sz w:val="20"/>
                <w:szCs w:val="20"/>
              </w:rPr>
            </w:pPr>
            <w:r w:rsidRPr="00AB6A00">
              <w:rPr>
                <w:rFonts w:ascii="Arial" w:hAnsi="Arial" w:cs="Arial"/>
                <w:sz w:val="20"/>
                <w:szCs w:val="20"/>
              </w:rPr>
              <w:t>Basic depreciation</w:t>
            </w:r>
          </w:p>
        </w:tc>
        <w:tc>
          <w:tcPr>
            <w:tcW w:w="1835" w:type="dxa"/>
          </w:tcPr>
          <w:p w:rsidR="00AB6A00" w:rsidRDefault="00AB6A00">
            <w:r w:rsidRPr="003F442F">
              <w:rPr>
                <w:rFonts w:ascii="Arial" w:hAnsi="Arial" w:cs="Arial"/>
                <w:sz w:val="20"/>
                <w:szCs w:val="20"/>
              </w:rPr>
              <w:t xml:space="preserve">Million dongs </w:t>
            </w:r>
          </w:p>
        </w:tc>
        <w:tc>
          <w:tcPr>
            <w:tcW w:w="1576" w:type="dxa"/>
          </w:tcPr>
          <w:p w:rsidR="00AB6A00" w:rsidRDefault="00AB6A00" w:rsidP="00F903A5">
            <w:pPr>
              <w:jc w:val="both"/>
              <w:rPr>
                <w:rFonts w:ascii="Arial" w:hAnsi="Arial" w:cs="Arial"/>
                <w:sz w:val="20"/>
                <w:szCs w:val="20"/>
              </w:rPr>
            </w:pPr>
            <w:r w:rsidRPr="00AB6A00">
              <w:rPr>
                <w:rFonts w:ascii="Arial" w:hAnsi="Arial" w:cs="Arial"/>
                <w:sz w:val="20"/>
                <w:szCs w:val="20"/>
              </w:rPr>
              <w:t>3</w:t>
            </w:r>
            <w:r>
              <w:rPr>
                <w:rFonts w:ascii="Arial" w:hAnsi="Arial" w:cs="Arial"/>
                <w:sz w:val="20"/>
                <w:szCs w:val="20"/>
              </w:rPr>
              <w:t>,</w:t>
            </w:r>
            <w:r w:rsidRPr="00AB6A00">
              <w:rPr>
                <w:rFonts w:ascii="Arial" w:hAnsi="Arial" w:cs="Arial"/>
                <w:sz w:val="20"/>
                <w:szCs w:val="20"/>
              </w:rPr>
              <w:t>030</w:t>
            </w:r>
          </w:p>
        </w:tc>
        <w:tc>
          <w:tcPr>
            <w:tcW w:w="1588" w:type="dxa"/>
          </w:tcPr>
          <w:p w:rsidR="00AB6A00" w:rsidRDefault="00AB6A00" w:rsidP="00F903A5">
            <w:pPr>
              <w:jc w:val="both"/>
              <w:rPr>
                <w:rFonts w:ascii="Arial" w:hAnsi="Arial" w:cs="Arial"/>
                <w:sz w:val="20"/>
                <w:szCs w:val="20"/>
              </w:rPr>
            </w:pPr>
            <w:r w:rsidRPr="00AB6A00">
              <w:rPr>
                <w:rFonts w:ascii="Arial" w:hAnsi="Arial" w:cs="Arial"/>
                <w:sz w:val="20"/>
                <w:szCs w:val="20"/>
              </w:rPr>
              <w:t>2</w:t>
            </w:r>
            <w:r>
              <w:rPr>
                <w:rFonts w:ascii="Arial" w:hAnsi="Arial" w:cs="Arial"/>
                <w:sz w:val="20"/>
                <w:szCs w:val="20"/>
              </w:rPr>
              <w:t>,</w:t>
            </w:r>
            <w:r w:rsidRPr="00AB6A00">
              <w:rPr>
                <w:rFonts w:ascii="Arial" w:hAnsi="Arial" w:cs="Arial"/>
                <w:sz w:val="20"/>
                <w:szCs w:val="20"/>
              </w:rPr>
              <w:t>399</w:t>
            </w:r>
          </w:p>
        </w:tc>
        <w:tc>
          <w:tcPr>
            <w:tcW w:w="1589" w:type="dxa"/>
          </w:tcPr>
          <w:p w:rsidR="00AB6A00" w:rsidRDefault="00AB6A00" w:rsidP="00F903A5">
            <w:pPr>
              <w:jc w:val="both"/>
              <w:rPr>
                <w:rFonts w:ascii="Arial" w:hAnsi="Arial" w:cs="Arial"/>
                <w:sz w:val="20"/>
                <w:szCs w:val="20"/>
              </w:rPr>
            </w:pPr>
            <w:r w:rsidRPr="00AB6A00">
              <w:rPr>
                <w:rFonts w:ascii="Arial" w:hAnsi="Arial" w:cs="Arial"/>
                <w:sz w:val="20"/>
                <w:szCs w:val="20"/>
              </w:rPr>
              <w:t>79</w:t>
            </w:r>
            <w:r>
              <w:rPr>
                <w:rFonts w:ascii="Arial" w:hAnsi="Arial" w:cs="Arial"/>
                <w:sz w:val="20"/>
                <w:szCs w:val="20"/>
              </w:rPr>
              <w:t>.</w:t>
            </w:r>
            <w:r w:rsidR="00390E9F">
              <w:rPr>
                <w:rFonts w:ascii="Arial" w:hAnsi="Arial" w:cs="Arial"/>
                <w:sz w:val="20"/>
                <w:szCs w:val="20"/>
              </w:rPr>
              <w:t>17%</w:t>
            </w:r>
          </w:p>
        </w:tc>
      </w:tr>
      <w:tr w:rsidR="00AB6A00" w:rsidTr="00AB6A00">
        <w:tc>
          <w:tcPr>
            <w:tcW w:w="472" w:type="dxa"/>
          </w:tcPr>
          <w:p w:rsidR="00AB6A00" w:rsidRDefault="00AB6A00" w:rsidP="00F903A5">
            <w:pPr>
              <w:jc w:val="both"/>
              <w:rPr>
                <w:rFonts w:ascii="Arial" w:hAnsi="Arial" w:cs="Arial"/>
                <w:sz w:val="20"/>
                <w:szCs w:val="20"/>
              </w:rPr>
            </w:pPr>
            <w:r>
              <w:rPr>
                <w:rFonts w:ascii="Arial" w:hAnsi="Arial" w:cs="Arial"/>
                <w:sz w:val="20"/>
                <w:szCs w:val="20"/>
              </w:rPr>
              <w:t>4</w:t>
            </w:r>
          </w:p>
        </w:tc>
        <w:tc>
          <w:tcPr>
            <w:tcW w:w="2516" w:type="dxa"/>
          </w:tcPr>
          <w:p w:rsidR="00AB6A00" w:rsidRDefault="00AB6A00" w:rsidP="00F903A5">
            <w:pPr>
              <w:jc w:val="both"/>
              <w:rPr>
                <w:rFonts w:ascii="Arial" w:hAnsi="Arial" w:cs="Arial"/>
                <w:sz w:val="20"/>
                <w:szCs w:val="20"/>
              </w:rPr>
            </w:pPr>
            <w:r w:rsidRPr="00AB6A00">
              <w:rPr>
                <w:rFonts w:ascii="Arial" w:hAnsi="Arial" w:cs="Arial"/>
                <w:sz w:val="20"/>
                <w:szCs w:val="20"/>
              </w:rPr>
              <w:t>Value of inventory</w:t>
            </w:r>
          </w:p>
        </w:tc>
        <w:tc>
          <w:tcPr>
            <w:tcW w:w="1835" w:type="dxa"/>
          </w:tcPr>
          <w:p w:rsidR="00AB6A00" w:rsidRDefault="00AB6A00">
            <w:r w:rsidRPr="003F442F">
              <w:rPr>
                <w:rFonts w:ascii="Arial" w:hAnsi="Arial" w:cs="Arial"/>
                <w:sz w:val="20"/>
                <w:szCs w:val="20"/>
              </w:rPr>
              <w:t xml:space="preserve">Million dongs </w:t>
            </w:r>
          </w:p>
        </w:tc>
        <w:tc>
          <w:tcPr>
            <w:tcW w:w="1576" w:type="dxa"/>
          </w:tcPr>
          <w:p w:rsidR="00AB6A00" w:rsidRDefault="00AB6A00" w:rsidP="00F903A5">
            <w:pPr>
              <w:jc w:val="both"/>
              <w:rPr>
                <w:rFonts w:ascii="Arial" w:hAnsi="Arial" w:cs="Arial"/>
                <w:sz w:val="20"/>
                <w:szCs w:val="20"/>
              </w:rPr>
            </w:pPr>
            <w:r w:rsidRPr="00AB6A00">
              <w:rPr>
                <w:rFonts w:ascii="Arial" w:hAnsi="Arial" w:cs="Arial"/>
                <w:sz w:val="20"/>
                <w:szCs w:val="20"/>
              </w:rPr>
              <w:t>7</w:t>
            </w:r>
            <w:r>
              <w:rPr>
                <w:rFonts w:ascii="Arial" w:hAnsi="Arial" w:cs="Arial"/>
                <w:sz w:val="20"/>
                <w:szCs w:val="20"/>
              </w:rPr>
              <w:t>,</w:t>
            </w:r>
            <w:r w:rsidRPr="00AB6A00">
              <w:rPr>
                <w:rFonts w:ascii="Arial" w:hAnsi="Arial" w:cs="Arial"/>
                <w:sz w:val="20"/>
                <w:szCs w:val="20"/>
              </w:rPr>
              <w:t>168</w:t>
            </w:r>
          </w:p>
        </w:tc>
        <w:tc>
          <w:tcPr>
            <w:tcW w:w="1588" w:type="dxa"/>
          </w:tcPr>
          <w:p w:rsidR="00AB6A00" w:rsidRDefault="00AB6A00" w:rsidP="00F903A5">
            <w:pPr>
              <w:jc w:val="both"/>
              <w:rPr>
                <w:rFonts w:ascii="Arial" w:hAnsi="Arial" w:cs="Arial"/>
                <w:sz w:val="20"/>
                <w:szCs w:val="20"/>
              </w:rPr>
            </w:pPr>
            <w:r w:rsidRPr="00AB6A00">
              <w:rPr>
                <w:rFonts w:ascii="Arial" w:hAnsi="Arial" w:cs="Arial"/>
                <w:sz w:val="20"/>
                <w:szCs w:val="20"/>
              </w:rPr>
              <w:t>6</w:t>
            </w:r>
            <w:r>
              <w:rPr>
                <w:rFonts w:ascii="Arial" w:hAnsi="Arial" w:cs="Arial"/>
                <w:sz w:val="20"/>
                <w:szCs w:val="20"/>
              </w:rPr>
              <w:t>,</w:t>
            </w:r>
            <w:r w:rsidRPr="00AB6A00">
              <w:rPr>
                <w:rFonts w:ascii="Arial" w:hAnsi="Arial" w:cs="Arial"/>
                <w:sz w:val="20"/>
                <w:szCs w:val="20"/>
              </w:rPr>
              <w:t>365</w:t>
            </w:r>
          </w:p>
        </w:tc>
        <w:tc>
          <w:tcPr>
            <w:tcW w:w="1589" w:type="dxa"/>
          </w:tcPr>
          <w:p w:rsidR="00AB6A00" w:rsidRDefault="00AB6A00" w:rsidP="00F903A5">
            <w:pPr>
              <w:jc w:val="both"/>
              <w:rPr>
                <w:rFonts w:ascii="Arial" w:hAnsi="Arial" w:cs="Arial"/>
                <w:sz w:val="20"/>
                <w:szCs w:val="20"/>
              </w:rPr>
            </w:pPr>
            <w:r w:rsidRPr="00AB6A00">
              <w:rPr>
                <w:rFonts w:ascii="Arial" w:hAnsi="Arial" w:cs="Arial"/>
                <w:sz w:val="20"/>
                <w:szCs w:val="20"/>
              </w:rPr>
              <w:t>88</w:t>
            </w:r>
            <w:r>
              <w:rPr>
                <w:rFonts w:ascii="Arial" w:hAnsi="Arial" w:cs="Arial"/>
                <w:sz w:val="20"/>
                <w:szCs w:val="20"/>
              </w:rPr>
              <w:t>.</w:t>
            </w:r>
            <w:r w:rsidRPr="00AB6A00">
              <w:rPr>
                <w:rFonts w:ascii="Arial" w:hAnsi="Arial" w:cs="Arial"/>
                <w:sz w:val="20"/>
                <w:szCs w:val="20"/>
              </w:rPr>
              <w:t>80%</w:t>
            </w:r>
          </w:p>
        </w:tc>
      </w:tr>
      <w:tr w:rsidR="00AB6A00" w:rsidTr="00AB6A00">
        <w:tc>
          <w:tcPr>
            <w:tcW w:w="472" w:type="dxa"/>
          </w:tcPr>
          <w:p w:rsidR="00AB6A00" w:rsidRDefault="00AB6A00" w:rsidP="00F903A5">
            <w:pPr>
              <w:jc w:val="both"/>
              <w:rPr>
                <w:rFonts w:ascii="Arial" w:hAnsi="Arial" w:cs="Arial"/>
                <w:sz w:val="20"/>
                <w:szCs w:val="20"/>
              </w:rPr>
            </w:pPr>
            <w:r>
              <w:rPr>
                <w:rFonts w:ascii="Arial" w:hAnsi="Arial" w:cs="Arial"/>
                <w:sz w:val="20"/>
                <w:szCs w:val="20"/>
              </w:rPr>
              <w:t>5</w:t>
            </w:r>
          </w:p>
        </w:tc>
        <w:tc>
          <w:tcPr>
            <w:tcW w:w="2516" w:type="dxa"/>
          </w:tcPr>
          <w:p w:rsidR="00AB6A00" w:rsidRDefault="00390E9F" w:rsidP="00F903A5">
            <w:pPr>
              <w:jc w:val="both"/>
              <w:rPr>
                <w:rFonts w:ascii="Arial" w:hAnsi="Arial" w:cs="Arial"/>
                <w:sz w:val="20"/>
                <w:szCs w:val="20"/>
              </w:rPr>
            </w:pPr>
            <w:r>
              <w:rPr>
                <w:rFonts w:ascii="Arial" w:hAnsi="Arial" w:cs="Arial"/>
                <w:sz w:val="20"/>
                <w:szCs w:val="20"/>
              </w:rPr>
              <w:t>Receivable debts</w:t>
            </w:r>
          </w:p>
        </w:tc>
        <w:tc>
          <w:tcPr>
            <w:tcW w:w="1835" w:type="dxa"/>
          </w:tcPr>
          <w:p w:rsidR="00AB6A00" w:rsidRDefault="00AB6A00">
            <w:r w:rsidRPr="003F442F">
              <w:rPr>
                <w:rFonts w:ascii="Arial" w:hAnsi="Arial" w:cs="Arial"/>
                <w:sz w:val="20"/>
                <w:szCs w:val="20"/>
              </w:rPr>
              <w:t xml:space="preserve">Million dongs </w:t>
            </w:r>
          </w:p>
        </w:tc>
        <w:tc>
          <w:tcPr>
            <w:tcW w:w="1576" w:type="dxa"/>
          </w:tcPr>
          <w:p w:rsidR="00AB6A00" w:rsidRDefault="00AB6A00" w:rsidP="00F903A5">
            <w:pPr>
              <w:jc w:val="both"/>
              <w:rPr>
                <w:rFonts w:ascii="Arial" w:hAnsi="Arial" w:cs="Arial"/>
                <w:sz w:val="20"/>
                <w:szCs w:val="20"/>
              </w:rPr>
            </w:pPr>
            <w:r w:rsidRPr="00AB6A00">
              <w:rPr>
                <w:rFonts w:ascii="Arial" w:hAnsi="Arial" w:cs="Arial"/>
                <w:sz w:val="20"/>
                <w:szCs w:val="20"/>
              </w:rPr>
              <w:t>2</w:t>
            </w:r>
            <w:r>
              <w:rPr>
                <w:rFonts w:ascii="Arial" w:hAnsi="Arial" w:cs="Arial"/>
                <w:sz w:val="20"/>
                <w:szCs w:val="20"/>
              </w:rPr>
              <w:t>,</w:t>
            </w:r>
            <w:r w:rsidRPr="00AB6A00">
              <w:rPr>
                <w:rFonts w:ascii="Arial" w:hAnsi="Arial" w:cs="Arial"/>
                <w:sz w:val="20"/>
                <w:szCs w:val="20"/>
              </w:rPr>
              <w:t>525</w:t>
            </w:r>
          </w:p>
        </w:tc>
        <w:tc>
          <w:tcPr>
            <w:tcW w:w="1588" w:type="dxa"/>
          </w:tcPr>
          <w:p w:rsidR="00AB6A00" w:rsidRDefault="00AB6A00" w:rsidP="00F903A5">
            <w:pPr>
              <w:jc w:val="both"/>
              <w:rPr>
                <w:rFonts w:ascii="Arial" w:hAnsi="Arial" w:cs="Arial"/>
                <w:sz w:val="20"/>
                <w:szCs w:val="20"/>
              </w:rPr>
            </w:pPr>
            <w:r w:rsidRPr="00AB6A00">
              <w:rPr>
                <w:rFonts w:ascii="Arial" w:hAnsi="Arial" w:cs="Arial"/>
                <w:sz w:val="20"/>
                <w:szCs w:val="20"/>
              </w:rPr>
              <w:t>5</w:t>
            </w:r>
            <w:r>
              <w:rPr>
                <w:rFonts w:ascii="Arial" w:hAnsi="Arial" w:cs="Arial"/>
                <w:sz w:val="20"/>
                <w:szCs w:val="20"/>
              </w:rPr>
              <w:t>,</w:t>
            </w:r>
            <w:r w:rsidRPr="00AB6A00">
              <w:rPr>
                <w:rFonts w:ascii="Arial" w:hAnsi="Arial" w:cs="Arial"/>
                <w:sz w:val="20"/>
                <w:szCs w:val="20"/>
              </w:rPr>
              <w:t>832</w:t>
            </w:r>
          </w:p>
        </w:tc>
        <w:tc>
          <w:tcPr>
            <w:tcW w:w="1589" w:type="dxa"/>
          </w:tcPr>
          <w:p w:rsidR="00AB6A00" w:rsidRDefault="00AB6A00" w:rsidP="00F903A5">
            <w:pPr>
              <w:jc w:val="both"/>
              <w:rPr>
                <w:rFonts w:ascii="Arial" w:hAnsi="Arial" w:cs="Arial"/>
                <w:sz w:val="20"/>
                <w:szCs w:val="20"/>
              </w:rPr>
            </w:pPr>
            <w:r w:rsidRPr="00AB6A00">
              <w:rPr>
                <w:rFonts w:ascii="Arial" w:hAnsi="Arial" w:cs="Arial"/>
                <w:sz w:val="20"/>
                <w:szCs w:val="20"/>
              </w:rPr>
              <w:t>230</w:t>
            </w:r>
            <w:r>
              <w:rPr>
                <w:rFonts w:ascii="Arial" w:hAnsi="Arial" w:cs="Arial"/>
                <w:sz w:val="20"/>
                <w:szCs w:val="20"/>
              </w:rPr>
              <w:t>.</w:t>
            </w:r>
            <w:r w:rsidRPr="00AB6A00">
              <w:rPr>
                <w:rFonts w:ascii="Arial" w:hAnsi="Arial" w:cs="Arial"/>
                <w:sz w:val="20"/>
                <w:szCs w:val="20"/>
              </w:rPr>
              <w:t>97%</w:t>
            </w:r>
          </w:p>
        </w:tc>
      </w:tr>
      <w:tr w:rsidR="00AB6A00" w:rsidTr="00AB6A00">
        <w:tc>
          <w:tcPr>
            <w:tcW w:w="472" w:type="dxa"/>
          </w:tcPr>
          <w:p w:rsidR="00AB6A00" w:rsidRDefault="00AB6A00" w:rsidP="00F903A5">
            <w:pPr>
              <w:jc w:val="both"/>
              <w:rPr>
                <w:rFonts w:ascii="Arial" w:hAnsi="Arial" w:cs="Arial"/>
                <w:sz w:val="20"/>
                <w:szCs w:val="20"/>
              </w:rPr>
            </w:pPr>
            <w:r>
              <w:rPr>
                <w:rFonts w:ascii="Arial" w:hAnsi="Arial" w:cs="Arial"/>
                <w:sz w:val="20"/>
                <w:szCs w:val="20"/>
              </w:rPr>
              <w:t>6</w:t>
            </w:r>
          </w:p>
        </w:tc>
        <w:tc>
          <w:tcPr>
            <w:tcW w:w="2516" w:type="dxa"/>
          </w:tcPr>
          <w:p w:rsidR="00AB6A00" w:rsidRDefault="00AB6A00" w:rsidP="00F903A5">
            <w:pPr>
              <w:jc w:val="both"/>
              <w:rPr>
                <w:rFonts w:ascii="Arial" w:hAnsi="Arial" w:cs="Arial"/>
                <w:sz w:val="20"/>
                <w:szCs w:val="20"/>
              </w:rPr>
            </w:pPr>
            <w:r w:rsidRPr="00AB6A00">
              <w:rPr>
                <w:rFonts w:ascii="Arial" w:hAnsi="Arial" w:cs="Arial"/>
                <w:sz w:val="20"/>
                <w:szCs w:val="20"/>
              </w:rPr>
              <w:t>Average income</w:t>
            </w:r>
          </w:p>
        </w:tc>
        <w:tc>
          <w:tcPr>
            <w:tcW w:w="1835" w:type="dxa"/>
          </w:tcPr>
          <w:p w:rsidR="00AB6A00" w:rsidRDefault="00AB6A00">
            <w:r>
              <w:rPr>
                <w:rFonts w:ascii="Arial" w:hAnsi="Arial" w:cs="Arial"/>
                <w:sz w:val="20"/>
                <w:szCs w:val="20"/>
              </w:rPr>
              <w:t>VND 1,000</w:t>
            </w:r>
            <w:r w:rsidRPr="003F442F">
              <w:rPr>
                <w:rFonts w:ascii="Arial" w:hAnsi="Arial" w:cs="Arial"/>
                <w:sz w:val="20"/>
                <w:szCs w:val="20"/>
              </w:rPr>
              <w:t xml:space="preserve"> </w:t>
            </w:r>
          </w:p>
        </w:tc>
        <w:tc>
          <w:tcPr>
            <w:tcW w:w="1576" w:type="dxa"/>
          </w:tcPr>
          <w:p w:rsidR="00AB6A00" w:rsidRDefault="00AB6A00" w:rsidP="00F903A5">
            <w:pPr>
              <w:jc w:val="both"/>
              <w:rPr>
                <w:rFonts w:ascii="Arial" w:hAnsi="Arial" w:cs="Arial"/>
                <w:sz w:val="20"/>
                <w:szCs w:val="20"/>
              </w:rPr>
            </w:pPr>
            <w:r w:rsidRPr="00AB6A00">
              <w:rPr>
                <w:rFonts w:ascii="Arial" w:hAnsi="Arial" w:cs="Arial"/>
                <w:sz w:val="20"/>
                <w:szCs w:val="20"/>
              </w:rPr>
              <w:t>7</w:t>
            </w:r>
            <w:r>
              <w:rPr>
                <w:rFonts w:ascii="Arial" w:hAnsi="Arial" w:cs="Arial"/>
                <w:sz w:val="20"/>
                <w:szCs w:val="20"/>
              </w:rPr>
              <w:t>,</w:t>
            </w:r>
            <w:r w:rsidRPr="00AB6A00">
              <w:rPr>
                <w:rFonts w:ascii="Arial" w:hAnsi="Arial" w:cs="Arial"/>
                <w:sz w:val="20"/>
                <w:szCs w:val="20"/>
              </w:rPr>
              <w:t>453</w:t>
            </w:r>
          </w:p>
        </w:tc>
        <w:tc>
          <w:tcPr>
            <w:tcW w:w="1588" w:type="dxa"/>
          </w:tcPr>
          <w:p w:rsidR="00AB6A00" w:rsidRDefault="00AB6A00" w:rsidP="00F903A5">
            <w:pPr>
              <w:jc w:val="both"/>
              <w:rPr>
                <w:rFonts w:ascii="Arial" w:hAnsi="Arial" w:cs="Arial"/>
                <w:sz w:val="20"/>
                <w:szCs w:val="20"/>
              </w:rPr>
            </w:pPr>
            <w:r w:rsidRPr="00AB6A00">
              <w:rPr>
                <w:rFonts w:ascii="Arial" w:hAnsi="Arial" w:cs="Arial"/>
                <w:sz w:val="20"/>
                <w:szCs w:val="20"/>
              </w:rPr>
              <w:t>7</w:t>
            </w:r>
            <w:r>
              <w:rPr>
                <w:rFonts w:ascii="Arial" w:hAnsi="Arial" w:cs="Arial"/>
                <w:sz w:val="20"/>
                <w:szCs w:val="20"/>
              </w:rPr>
              <w:t>,</w:t>
            </w:r>
            <w:r w:rsidRPr="00AB6A00">
              <w:rPr>
                <w:rFonts w:ascii="Arial" w:hAnsi="Arial" w:cs="Arial"/>
                <w:sz w:val="20"/>
                <w:szCs w:val="20"/>
              </w:rPr>
              <w:t>360</w:t>
            </w:r>
          </w:p>
        </w:tc>
        <w:tc>
          <w:tcPr>
            <w:tcW w:w="1589" w:type="dxa"/>
          </w:tcPr>
          <w:p w:rsidR="00AB6A00" w:rsidRDefault="00AB6A00" w:rsidP="00F903A5">
            <w:pPr>
              <w:jc w:val="both"/>
              <w:rPr>
                <w:rFonts w:ascii="Arial" w:hAnsi="Arial" w:cs="Arial"/>
                <w:sz w:val="20"/>
                <w:szCs w:val="20"/>
              </w:rPr>
            </w:pPr>
            <w:r w:rsidRPr="00AB6A00">
              <w:rPr>
                <w:rFonts w:ascii="Arial" w:hAnsi="Arial" w:cs="Arial"/>
                <w:sz w:val="20"/>
                <w:szCs w:val="20"/>
              </w:rPr>
              <w:t>98</w:t>
            </w:r>
            <w:r>
              <w:rPr>
                <w:rFonts w:ascii="Arial" w:hAnsi="Arial" w:cs="Arial"/>
                <w:sz w:val="20"/>
                <w:szCs w:val="20"/>
              </w:rPr>
              <w:t>.</w:t>
            </w:r>
            <w:r w:rsidRPr="00AB6A00">
              <w:rPr>
                <w:rFonts w:ascii="Arial" w:hAnsi="Arial" w:cs="Arial"/>
                <w:sz w:val="20"/>
                <w:szCs w:val="20"/>
              </w:rPr>
              <w:t>75%</w:t>
            </w:r>
          </w:p>
        </w:tc>
      </w:tr>
      <w:tr w:rsidR="00AB6A00" w:rsidTr="00AB6A00">
        <w:tc>
          <w:tcPr>
            <w:tcW w:w="472" w:type="dxa"/>
          </w:tcPr>
          <w:p w:rsidR="00AB6A00" w:rsidRDefault="00AB6A00" w:rsidP="00F903A5">
            <w:pPr>
              <w:jc w:val="both"/>
              <w:rPr>
                <w:rFonts w:ascii="Arial" w:hAnsi="Arial" w:cs="Arial"/>
                <w:sz w:val="20"/>
                <w:szCs w:val="20"/>
              </w:rPr>
            </w:pPr>
            <w:r>
              <w:rPr>
                <w:rFonts w:ascii="Arial" w:hAnsi="Arial" w:cs="Arial"/>
                <w:sz w:val="20"/>
                <w:szCs w:val="20"/>
              </w:rPr>
              <w:t>7</w:t>
            </w:r>
          </w:p>
        </w:tc>
        <w:tc>
          <w:tcPr>
            <w:tcW w:w="2516" w:type="dxa"/>
          </w:tcPr>
          <w:p w:rsidR="00AB6A00" w:rsidRDefault="00AB6A00" w:rsidP="00F903A5">
            <w:pPr>
              <w:jc w:val="both"/>
              <w:rPr>
                <w:rFonts w:ascii="Arial" w:hAnsi="Arial" w:cs="Arial"/>
                <w:sz w:val="20"/>
                <w:szCs w:val="20"/>
              </w:rPr>
            </w:pPr>
            <w:r w:rsidRPr="00AB6A00">
              <w:rPr>
                <w:rFonts w:ascii="Arial" w:hAnsi="Arial" w:cs="Arial"/>
                <w:sz w:val="20"/>
                <w:szCs w:val="20"/>
              </w:rPr>
              <w:t>Investment execution</w:t>
            </w:r>
          </w:p>
        </w:tc>
        <w:tc>
          <w:tcPr>
            <w:tcW w:w="1835" w:type="dxa"/>
          </w:tcPr>
          <w:p w:rsidR="00AB6A00" w:rsidRDefault="00AB6A00">
            <w:r w:rsidRPr="003F442F">
              <w:rPr>
                <w:rFonts w:ascii="Arial" w:hAnsi="Arial" w:cs="Arial"/>
                <w:sz w:val="20"/>
                <w:szCs w:val="20"/>
              </w:rPr>
              <w:t xml:space="preserve">Million dongs </w:t>
            </w:r>
          </w:p>
        </w:tc>
        <w:tc>
          <w:tcPr>
            <w:tcW w:w="1576" w:type="dxa"/>
          </w:tcPr>
          <w:p w:rsidR="00AB6A00" w:rsidRDefault="00AB6A00" w:rsidP="00F903A5">
            <w:pPr>
              <w:jc w:val="both"/>
              <w:rPr>
                <w:rFonts w:ascii="Arial" w:hAnsi="Arial" w:cs="Arial"/>
                <w:sz w:val="20"/>
                <w:szCs w:val="20"/>
              </w:rPr>
            </w:pPr>
            <w:r w:rsidRPr="00AB6A00">
              <w:rPr>
                <w:rFonts w:ascii="Arial" w:hAnsi="Arial" w:cs="Arial"/>
                <w:sz w:val="20"/>
                <w:szCs w:val="20"/>
              </w:rPr>
              <w:t>2 470</w:t>
            </w:r>
          </w:p>
        </w:tc>
        <w:tc>
          <w:tcPr>
            <w:tcW w:w="1588" w:type="dxa"/>
          </w:tcPr>
          <w:p w:rsidR="00AB6A00" w:rsidRDefault="00AB6A00" w:rsidP="00F903A5">
            <w:pPr>
              <w:jc w:val="both"/>
              <w:rPr>
                <w:rFonts w:ascii="Arial" w:hAnsi="Arial" w:cs="Arial"/>
                <w:sz w:val="20"/>
                <w:szCs w:val="20"/>
              </w:rPr>
            </w:pPr>
            <w:r w:rsidRPr="00AB6A00">
              <w:rPr>
                <w:rFonts w:ascii="Arial" w:hAnsi="Arial" w:cs="Arial"/>
                <w:sz w:val="20"/>
                <w:szCs w:val="20"/>
              </w:rPr>
              <w:t>338</w:t>
            </w:r>
          </w:p>
        </w:tc>
        <w:tc>
          <w:tcPr>
            <w:tcW w:w="1589" w:type="dxa"/>
          </w:tcPr>
          <w:p w:rsidR="00AB6A00" w:rsidRDefault="00AB6A00" w:rsidP="00F903A5">
            <w:pPr>
              <w:jc w:val="both"/>
              <w:rPr>
                <w:rFonts w:ascii="Arial" w:hAnsi="Arial" w:cs="Arial"/>
                <w:sz w:val="20"/>
                <w:szCs w:val="20"/>
              </w:rPr>
            </w:pPr>
            <w:r w:rsidRPr="00AB6A00">
              <w:rPr>
                <w:rFonts w:ascii="Arial" w:hAnsi="Arial" w:cs="Arial"/>
                <w:sz w:val="20"/>
                <w:szCs w:val="20"/>
              </w:rPr>
              <w:t>13</w:t>
            </w:r>
            <w:r>
              <w:rPr>
                <w:rFonts w:ascii="Arial" w:hAnsi="Arial" w:cs="Arial"/>
                <w:sz w:val="20"/>
                <w:szCs w:val="20"/>
              </w:rPr>
              <w:t>.</w:t>
            </w:r>
            <w:r w:rsidRPr="00AB6A00">
              <w:rPr>
                <w:rFonts w:ascii="Arial" w:hAnsi="Arial" w:cs="Arial"/>
                <w:sz w:val="20"/>
                <w:szCs w:val="20"/>
              </w:rPr>
              <w:t>68%</w:t>
            </w:r>
          </w:p>
        </w:tc>
      </w:tr>
      <w:tr w:rsidR="00AB6A00" w:rsidTr="00AB6A00">
        <w:tc>
          <w:tcPr>
            <w:tcW w:w="472" w:type="dxa"/>
          </w:tcPr>
          <w:p w:rsidR="00AB6A00" w:rsidRDefault="00AB6A00" w:rsidP="00F903A5">
            <w:pPr>
              <w:jc w:val="both"/>
              <w:rPr>
                <w:rFonts w:ascii="Arial" w:hAnsi="Arial" w:cs="Arial"/>
                <w:sz w:val="20"/>
                <w:szCs w:val="20"/>
              </w:rPr>
            </w:pPr>
            <w:r>
              <w:rPr>
                <w:rFonts w:ascii="Arial" w:hAnsi="Arial" w:cs="Arial"/>
                <w:sz w:val="20"/>
                <w:szCs w:val="20"/>
              </w:rPr>
              <w:t>8</w:t>
            </w:r>
          </w:p>
        </w:tc>
        <w:tc>
          <w:tcPr>
            <w:tcW w:w="2516" w:type="dxa"/>
          </w:tcPr>
          <w:p w:rsidR="00AB6A00" w:rsidRDefault="00AB6A00" w:rsidP="00F903A5">
            <w:pPr>
              <w:jc w:val="both"/>
              <w:rPr>
                <w:rFonts w:ascii="Arial" w:hAnsi="Arial" w:cs="Arial"/>
                <w:sz w:val="20"/>
                <w:szCs w:val="20"/>
              </w:rPr>
            </w:pPr>
            <w:r w:rsidRPr="00AB6A00">
              <w:rPr>
                <w:rFonts w:ascii="Arial" w:hAnsi="Arial" w:cs="Arial"/>
                <w:sz w:val="20"/>
                <w:szCs w:val="20"/>
              </w:rPr>
              <w:t>Repair of machinery, equipment</w:t>
            </w:r>
          </w:p>
        </w:tc>
        <w:tc>
          <w:tcPr>
            <w:tcW w:w="1835" w:type="dxa"/>
          </w:tcPr>
          <w:p w:rsidR="00AB6A00" w:rsidRDefault="00AB6A00">
            <w:r w:rsidRPr="003F442F">
              <w:rPr>
                <w:rFonts w:ascii="Arial" w:hAnsi="Arial" w:cs="Arial"/>
                <w:sz w:val="20"/>
                <w:szCs w:val="20"/>
              </w:rPr>
              <w:t xml:space="preserve">Million dongs </w:t>
            </w:r>
          </w:p>
        </w:tc>
        <w:tc>
          <w:tcPr>
            <w:tcW w:w="1576" w:type="dxa"/>
          </w:tcPr>
          <w:p w:rsidR="00AB6A00" w:rsidRDefault="00AB6A00" w:rsidP="00F903A5">
            <w:pPr>
              <w:jc w:val="both"/>
              <w:rPr>
                <w:rFonts w:ascii="Arial" w:hAnsi="Arial" w:cs="Arial"/>
                <w:sz w:val="20"/>
                <w:szCs w:val="20"/>
              </w:rPr>
            </w:pPr>
            <w:r w:rsidRPr="00AB6A00">
              <w:rPr>
                <w:rFonts w:ascii="Arial" w:hAnsi="Arial" w:cs="Arial"/>
                <w:sz w:val="20"/>
                <w:szCs w:val="20"/>
              </w:rPr>
              <w:t>2</w:t>
            </w:r>
            <w:r>
              <w:rPr>
                <w:rFonts w:ascii="Arial" w:hAnsi="Arial" w:cs="Arial"/>
                <w:sz w:val="20"/>
                <w:szCs w:val="20"/>
              </w:rPr>
              <w:t>,</w:t>
            </w:r>
            <w:r w:rsidRPr="00AB6A00">
              <w:rPr>
                <w:rFonts w:ascii="Arial" w:hAnsi="Arial" w:cs="Arial"/>
                <w:sz w:val="20"/>
                <w:szCs w:val="20"/>
              </w:rPr>
              <w:t>100</w:t>
            </w:r>
          </w:p>
        </w:tc>
        <w:tc>
          <w:tcPr>
            <w:tcW w:w="1588" w:type="dxa"/>
          </w:tcPr>
          <w:p w:rsidR="00AB6A00" w:rsidRDefault="00AB6A00" w:rsidP="00F903A5">
            <w:pPr>
              <w:jc w:val="both"/>
              <w:rPr>
                <w:rFonts w:ascii="Arial" w:hAnsi="Arial" w:cs="Arial"/>
                <w:sz w:val="20"/>
                <w:szCs w:val="20"/>
              </w:rPr>
            </w:pPr>
            <w:r w:rsidRPr="00AB6A00">
              <w:rPr>
                <w:rFonts w:ascii="Arial" w:hAnsi="Arial" w:cs="Arial"/>
                <w:sz w:val="20"/>
                <w:szCs w:val="20"/>
              </w:rPr>
              <w:t>1</w:t>
            </w:r>
            <w:r>
              <w:rPr>
                <w:rFonts w:ascii="Arial" w:hAnsi="Arial" w:cs="Arial"/>
                <w:sz w:val="20"/>
                <w:szCs w:val="20"/>
              </w:rPr>
              <w:t>,</w:t>
            </w:r>
            <w:r w:rsidRPr="00AB6A00">
              <w:rPr>
                <w:rFonts w:ascii="Arial" w:hAnsi="Arial" w:cs="Arial"/>
                <w:sz w:val="20"/>
                <w:szCs w:val="20"/>
              </w:rPr>
              <w:t>086</w:t>
            </w:r>
          </w:p>
        </w:tc>
        <w:tc>
          <w:tcPr>
            <w:tcW w:w="1589" w:type="dxa"/>
          </w:tcPr>
          <w:p w:rsidR="00AB6A00" w:rsidRDefault="00AB6A00" w:rsidP="00F903A5">
            <w:pPr>
              <w:jc w:val="both"/>
              <w:rPr>
                <w:rFonts w:ascii="Arial" w:hAnsi="Arial" w:cs="Arial"/>
                <w:sz w:val="20"/>
                <w:szCs w:val="20"/>
              </w:rPr>
            </w:pPr>
            <w:r>
              <w:rPr>
                <w:rFonts w:ascii="Arial" w:hAnsi="Arial" w:cs="Arial"/>
                <w:sz w:val="20"/>
                <w:szCs w:val="20"/>
              </w:rPr>
              <w:t>51.71%</w:t>
            </w:r>
          </w:p>
        </w:tc>
      </w:tr>
    </w:tbl>
    <w:p w:rsidR="00AB6A00" w:rsidRDefault="00AB6A00" w:rsidP="00F903A5">
      <w:pPr>
        <w:jc w:val="both"/>
        <w:rPr>
          <w:rFonts w:ascii="Arial" w:hAnsi="Arial" w:cs="Arial"/>
          <w:sz w:val="20"/>
          <w:szCs w:val="20"/>
        </w:rPr>
      </w:pPr>
    </w:p>
    <w:p w:rsidR="00390E9F" w:rsidRDefault="00390E9F" w:rsidP="00F903A5">
      <w:pPr>
        <w:jc w:val="both"/>
        <w:rPr>
          <w:rFonts w:ascii="Arial" w:hAnsi="Arial" w:cs="Arial"/>
          <w:sz w:val="20"/>
          <w:szCs w:val="20"/>
        </w:rPr>
      </w:pPr>
      <w:r w:rsidRPr="00390E9F">
        <w:rPr>
          <w:rFonts w:ascii="Arial" w:hAnsi="Arial" w:cs="Arial"/>
          <w:sz w:val="20"/>
          <w:szCs w:val="20"/>
        </w:rPr>
        <w:t>The General Meeting of Shareholders voted with the percentage of voting shares reach</w:t>
      </w:r>
      <w:r>
        <w:rPr>
          <w:rFonts w:ascii="Arial" w:hAnsi="Arial" w:cs="Arial"/>
          <w:sz w:val="20"/>
          <w:szCs w:val="20"/>
        </w:rPr>
        <w:t>ing</w:t>
      </w:r>
      <w:r w:rsidRPr="00390E9F">
        <w:rPr>
          <w:rFonts w:ascii="Arial" w:hAnsi="Arial" w:cs="Arial"/>
          <w:sz w:val="20"/>
          <w:szCs w:val="20"/>
        </w:rPr>
        <w:t xml:space="preserve"> 100% of the tot</w:t>
      </w:r>
      <w:r>
        <w:rPr>
          <w:rFonts w:ascii="Arial" w:hAnsi="Arial" w:cs="Arial"/>
          <w:sz w:val="20"/>
          <w:szCs w:val="20"/>
        </w:rPr>
        <w:t>al voting shares at the Meeting</w:t>
      </w:r>
    </w:p>
    <w:p w:rsidR="00390E9F" w:rsidRDefault="00390E9F" w:rsidP="00F903A5">
      <w:pPr>
        <w:jc w:val="both"/>
        <w:rPr>
          <w:rFonts w:ascii="Arial" w:hAnsi="Arial" w:cs="Arial"/>
          <w:sz w:val="20"/>
          <w:szCs w:val="20"/>
        </w:rPr>
      </w:pPr>
      <w:r>
        <w:rPr>
          <w:rFonts w:ascii="Arial" w:hAnsi="Arial" w:cs="Arial"/>
          <w:sz w:val="20"/>
          <w:szCs w:val="20"/>
        </w:rPr>
        <w:t xml:space="preserve">2. </w:t>
      </w:r>
      <w:r w:rsidRPr="00390E9F">
        <w:rPr>
          <w:rFonts w:ascii="Arial" w:hAnsi="Arial" w:cs="Arial"/>
          <w:sz w:val="20"/>
          <w:szCs w:val="20"/>
        </w:rPr>
        <w:t>Busine</w:t>
      </w:r>
      <w:r>
        <w:rPr>
          <w:rFonts w:ascii="Arial" w:hAnsi="Arial" w:cs="Arial"/>
          <w:sz w:val="20"/>
          <w:szCs w:val="20"/>
        </w:rPr>
        <w:t>ss and production plan in 2020</w:t>
      </w:r>
    </w:p>
    <w:p w:rsidR="00390E9F" w:rsidRDefault="00390E9F" w:rsidP="00F903A5">
      <w:pPr>
        <w:jc w:val="both"/>
        <w:rPr>
          <w:rFonts w:ascii="Arial" w:hAnsi="Arial" w:cs="Arial"/>
          <w:sz w:val="20"/>
          <w:szCs w:val="20"/>
        </w:rPr>
      </w:pPr>
      <w:r w:rsidRPr="00390E9F">
        <w:rPr>
          <w:rFonts w:ascii="Arial" w:hAnsi="Arial" w:cs="Arial"/>
          <w:sz w:val="20"/>
          <w:szCs w:val="20"/>
        </w:rPr>
        <w:t>2.</w:t>
      </w:r>
      <w:r>
        <w:rPr>
          <w:rFonts w:ascii="Arial" w:hAnsi="Arial" w:cs="Arial"/>
          <w:sz w:val="20"/>
          <w:szCs w:val="20"/>
        </w:rPr>
        <w:t xml:space="preserve">1 </w:t>
      </w:r>
      <w:r w:rsidRPr="00390E9F">
        <w:rPr>
          <w:rFonts w:ascii="Arial" w:hAnsi="Arial" w:cs="Arial"/>
          <w:sz w:val="20"/>
          <w:szCs w:val="20"/>
        </w:rPr>
        <w:t xml:space="preserve">Some major </w:t>
      </w:r>
      <w:r>
        <w:rPr>
          <w:rFonts w:ascii="Arial" w:hAnsi="Arial" w:cs="Arial"/>
          <w:sz w:val="20"/>
          <w:szCs w:val="20"/>
        </w:rPr>
        <w:t>indicators in 2020</w:t>
      </w:r>
    </w:p>
    <w:p w:rsidR="00390E9F" w:rsidRDefault="00390E9F" w:rsidP="00F903A5">
      <w:pPr>
        <w:jc w:val="both"/>
        <w:rPr>
          <w:rFonts w:ascii="Arial" w:hAnsi="Arial" w:cs="Arial"/>
          <w:sz w:val="20"/>
          <w:szCs w:val="20"/>
        </w:rPr>
      </w:pPr>
      <w:r w:rsidRPr="00390E9F">
        <w:rPr>
          <w:rFonts w:ascii="Arial" w:hAnsi="Arial" w:cs="Arial"/>
          <w:sz w:val="20"/>
          <w:szCs w:val="20"/>
        </w:rPr>
        <w:t xml:space="preserve">- Profit before tax: </w:t>
      </w:r>
      <w:r>
        <w:rPr>
          <w:rFonts w:ascii="Arial" w:hAnsi="Arial" w:cs="Arial"/>
          <w:sz w:val="20"/>
          <w:szCs w:val="20"/>
        </w:rPr>
        <w:t xml:space="preserve">-1,500 million dongs </w:t>
      </w:r>
    </w:p>
    <w:p w:rsidR="00390E9F" w:rsidRDefault="00390E9F" w:rsidP="00F903A5">
      <w:pPr>
        <w:jc w:val="both"/>
        <w:rPr>
          <w:rFonts w:ascii="Arial" w:hAnsi="Arial" w:cs="Arial"/>
          <w:sz w:val="20"/>
          <w:szCs w:val="20"/>
        </w:rPr>
      </w:pPr>
      <w:r w:rsidRPr="00390E9F">
        <w:rPr>
          <w:rFonts w:ascii="Arial" w:hAnsi="Arial" w:cs="Arial"/>
          <w:sz w:val="20"/>
          <w:szCs w:val="20"/>
        </w:rPr>
        <w:t>- Re</w:t>
      </w:r>
      <w:r>
        <w:rPr>
          <w:rFonts w:ascii="Arial" w:hAnsi="Arial" w:cs="Arial"/>
          <w:sz w:val="20"/>
          <w:szCs w:val="20"/>
        </w:rPr>
        <w:t>venue: 52,</w:t>
      </w:r>
      <w:r w:rsidRPr="00390E9F">
        <w:rPr>
          <w:rFonts w:ascii="Arial" w:hAnsi="Arial" w:cs="Arial"/>
          <w:sz w:val="20"/>
          <w:szCs w:val="20"/>
        </w:rPr>
        <w:t xml:space="preserve">000 </w:t>
      </w:r>
      <w:r>
        <w:rPr>
          <w:rFonts w:ascii="Arial" w:hAnsi="Arial" w:cs="Arial"/>
          <w:sz w:val="20"/>
          <w:szCs w:val="20"/>
        </w:rPr>
        <w:t xml:space="preserve">million dongs </w:t>
      </w:r>
    </w:p>
    <w:p w:rsidR="00390E9F" w:rsidRDefault="00390E9F" w:rsidP="00F903A5">
      <w:pPr>
        <w:jc w:val="both"/>
        <w:rPr>
          <w:rFonts w:ascii="Arial" w:hAnsi="Arial" w:cs="Arial"/>
          <w:sz w:val="20"/>
          <w:szCs w:val="20"/>
        </w:rPr>
      </w:pPr>
      <w:r>
        <w:rPr>
          <w:rFonts w:ascii="Arial" w:hAnsi="Arial" w:cs="Arial"/>
          <w:sz w:val="20"/>
          <w:szCs w:val="20"/>
        </w:rPr>
        <w:t>- Basic depreciation: 2,</w:t>
      </w:r>
      <w:r w:rsidRPr="00390E9F">
        <w:rPr>
          <w:rFonts w:ascii="Arial" w:hAnsi="Arial" w:cs="Arial"/>
          <w:sz w:val="20"/>
          <w:szCs w:val="20"/>
        </w:rPr>
        <w:t>400 million dong</w:t>
      </w:r>
      <w:r>
        <w:rPr>
          <w:rFonts w:ascii="Arial" w:hAnsi="Arial" w:cs="Arial"/>
          <w:sz w:val="20"/>
          <w:szCs w:val="20"/>
        </w:rPr>
        <w:t>s</w:t>
      </w:r>
    </w:p>
    <w:p w:rsidR="00390E9F" w:rsidRDefault="00390E9F" w:rsidP="00F903A5">
      <w:pPr>
        <w:jc w:val="both"/>
        <w:rPr>
          <w:rFonts w:ascii="Arial" w:hAnsi="Arial" w:cs="Arial"/>
          <w:sz w:val="20"/>
          <w:szCs w:val="20"/>
        </w:rPr>
      </w:pPr>
      <w:r w:rsidRPr="00390E9F">
        <w:rPr>
          <w:rFonts w:ascii="Arial" w:hAnsi="Arial" w:cs="Arial"/>
          <w:sz w:val="20"/>
          <w:szCs w:val="20"/>
        </w:rPr>
        <w:t>- Inv</w:t>
      </w:r>
      <w:r>
        <w:rPr>
          <w:rFonts w:ascii="Arial" w:hAnsi="Arial" w:cs="Arial"/>
          <w:sz w:val="20"/>
          <w:szCs w:val="20"/>
        </w:rPr>
        <w:t>entory of finished products: 5,</w:t>
      </w:r>
      <w:r w:rsidRPr="00390E9F">
        <w:rPr>
          <w:rFonts w:ascii="Arial" w:hAnsi="Arial" w:cs="Arial"/>
          <w:sz w:val="20"/>
          <w:szCs w:val="20"/>
        </w:rPr>
        <w:t>600 million</w:t>
      </w:r>
      <w:r>
        <w:rPr>
          <w:rFonts w:ascii="Arial" w:hAnsi="Arial" w:cs="Arial"/>
          <w:sz w:val="20"/>
          <w:szCs w:val="20"/>
        </w:rPr>
        <w:t xml:space="preserve"> dongs</w:t>
      </w:r>
    </w:p>
    <w:p w:rsidR="00390E9F" w:rsidRDefault="00390E9F" w:rsidP="00F903A5">
      <w:pPr>
        <w:jc w:val="both"/>
        <w:rPr>
          <w:rFonts w:ascii="Arial" w:hAnsi="Arial" w:cs="Arial"/>
          <w:sz w:val="20"/>
          <w:szCs w:val="20"/>
        </w:rPr>
      </w:pPr>
      <w:r w:rsidRPr="00390E9F">
        <w:rPr>
          <w:rFonts w:ascii="Arial" w:hAnsi="Arial" w:cs="Arial"/>
          <w:sz w:val="20"/>
          <w:szCs w:val="20"/>
        </w:rPr>
        <w:t xml:space="preserve">- </w:t>
      </w:r>
      <w:r>
        <w:rPr>
          <w:rFonts w:ascii="Arial" w:hAnsi="Arial" w:cs="Arial"/>
          <w:sz w:val="20"/>
          <w:szCs w:val="20"/>
        </w:rPr>
        <w:t>Receivable debts: 2,</w:t>
      </w:r>
      <w:r w:rsidRPr="00390E9F">
        <w:rPr>
          <w:rFonts w:ascii="Arial" w:hAnsi="Arial" w:cs="Arial"/>
          <w:sz w:val="20"/>
          <w:szCs w:val="20"/>
        </w:rPr>
        <w:t>800 million</w:t>
      </w:r>
      <w:r>
        <w:rPr>
          <w:rFonts w:ascii="Arial" w:hAnsi="Arial" w:cs="Arial"/>
          <w:sz w:val="20"/>
          <w:szCs w:val="20"/>
        </w:rPr>
        <w:t xml:space="preserve"> dongs</w:t>
      </w:r>
    </w:p>
    <w:p w:rsidR="00390E9F" w:rsidRDefault="00390E9F" w:rsidP="00F903A5">
      <w:pPr>
        <w:jc w:val="both"/>
        <w:rPr>
          <w:rFonts w:ascii="Arial" w:hAnsi="Arial" w:cs="Arial"/>
          <w:sz w:val="20"/>
          <w:szCs w:val="20"/>
        </w:rPr>
      </w:pPr>
      <w:r>
        <w:rPr>
          <w:rFonts w:ascii="Arial" w:hAnsi="Arial" w:cs="Arial"/>
          <w:sz w:val="20"/>
          <w:szCs w:val="20"/>
        </w:rPr>
        <w:t>- Average income: VND 7,</w:t>
      </w:r>
      <w:r w:rsidRPr="00390E9F">
        <w:rPr>
          <w:rFonts w:ascii="Arial" w:hAnsi="Arial" w:cs="Arial"/>
          <w:sz w:val="20"/>
          <w:szCs w:val="20"/>
        </w:rPr>
        <w:t>500</w:t>
      </w:r>
      <w:r>
        <w:rPr>
          <w:rFonts w:ascii="Arial" w:hAnsi="Arial" w:cs="Arial"/>
          <w:sz w:val="20"/>
          <w:szCs w:val="20"/>
        </w:rPr>
        <w:t>,000/ person</w:t>
      </w:r>
      <w:r w:rsidRPr="00390E9F">
        <w:rPr>
          <w:rFonts w:ascii="Arial" w:hAnsi="Arial" w:cs="Arial"/>
          <w:sz w:val="20"/>
          <w:szCs w:val="20"/>
        </w:rPr>
        <w:t>/ month T</w:t>
      </w:r>
    </w:p>
    <w:p w:rsidR="00390E9F" w:rsidRDefault="00390E9F" w:rsidP="00F903A5">
      <w:pPr>
        <w:jc w:val="both"/>
        <w:rPr>
          <w:rFonts w:ascii="Arial" w:hAnsi="Arial" w:cs="Arial"/>
          <w:sz w:val="20"/>
          <w:szCs w:val="20"/>
        </w:rPr>
      </w:pPr>
      <w:r>
        <w:rPr>
          <w:rFonts w:ascii="Arial" w:hAnsi="Arial" w:cs="Arial"/>
          <w:sz w:val="20"/>
          <w:szCs w:val="20"/>
        </w:rPr>
        <w:t>T</w:t>
      </w:r>
      <w:r w:rsidRPr="00390E9F">
        <w:rPr>
          <w:rFonts w:ascii="Arial" w:hAnsi="Arial" w:cs="Arial"/>
          <w:sz w:val="20"/>
          <w:szCs w:val="20"/>
        </w:rPr>
        <w:t>he General Meeting of Shareholders voted with the percentage of voting shares reach</w:t>
      </w:r>
      <w:r>
        <w:rPr>
          <w:rFonts w:ascii="Arial" w:hAnsi="Arial" w:cs="Arial"/>
          <w:sz w:val="20"/>
          <w:szCs w:val="20"/>
        </w:rPr>
        <w:t>ing</w:t>
      </w:r>
      <w:r w:rsidRPr="00390E9F">
        <w:rPr>
          <w:rFonts w:ascii="Arial" w:hAnsi="Arial" w:cs="Arial"/>
          <w:sz w:val="20"/>
          <w:szCs w:val="20"/>
        </w:rPr>
        <w:t xml:space="preserve"> 100% of the tot</w:t>
      </w:r>
      <w:r>
        <w:rPr>
          <w:rFonts w:ascii="Arial" w:hAnsi="Arial" w:cs="Arial"/>
          <w:sz w:val="20"/>
          <w:szCs w:val="20"/>
        </w:rPr>
        <w:t>al voting shares at the Meeting</w:t>
      </w:r>
    </w:p>
    <w:p w:rsidR="00390E9F" w:rsidRDefault="00390E9F" w:rsidP="00F903A5">
      <w:pPr>
        <w:jc w:val="both"/>
        <w:rPr>
          <w:rFonts w:ascii="Arial" w:hAnsi="Arial" w:cs="Arial"/>
          <w:sz w:val="20"/>
          <w:szCs w:val="20"/>
        </w:rPr>
      </w:pPr>
      <w:r>
        <w:rPr>
          <w:rFonts w:ascii="Arial" w:hAnsi="Arial" w:cs="Arial"/>
          <w:sz w:val="20"/>
          <w:szCs w:val="20"/>
        </w:rPr>
        <w:t xml:space="preserve"> 2.</w:t>
      </w:r>
      <w:r w:rsidRPr="00390E9F">
        <w:rPr>
          <w:rFonts w:ascii="Arial" w:hAnsi="Arial" w:cs="Arial"/>
          <w:sz w:val="20"/>
          <w:szCs w:val="20"/>
        </w:rPr>
        <w:t xml:space="preserve">2 Plan for </w:t>
      </w:r>
      <w:r>
        <w:rPr>
          <w:rFonts w:ascii="Arial" w:hAnsi="Arial" w:cs="Arial"/>
          <w:sz w:val="20"/>
          <w:szCs w:val="20"/>
        </w:rPr>
        <w:t>basic</w:t>
      </w:r>
      <w:r w:rsidRPr="00390E9F">
        <w:rPr>
          <w:rFonts w:ascii="Arial" w:hAnsi="Arial" w:cs="Arial"/>
          <w:sz w:val="20"/>
          <w:szCs w:val="20"/>
        </w:rPr>
        <w:t xml:space="preserve"> construction in 2020: </w:t>
      </w:r>
    </w:p>
    <w:tbl>
      <w:tblPr>
        <w:tblStyle w:val="TableGrid"/>
        <w:tblW w:w="0" w:type="auto"/>
        <w:tblLook w:val="04A0" w:firstRow="1" w:lastRow="0" w:firstColumn="1" w:lastColumn="0" w:noHBand="0" w:noVBand="1"/>
      </w:tblPr>
      <w:tblGrid>
        <w:gridCol w:w="472"/>
        <w:gridCol w:w="2266"/>
        <w:gridCol w:w="1367"/>
        <w:gridCol w:w="1367"/>
        <w:gridCol w:w="1368"/>
        <w:gridCol w:w="1368"/>
        <w:gridCol w:w="1368"/>
      </w:tblGrid>
      <w:tr w:rsidR="00390E9F" w:rsidTr="00390E9F">
        <w:tc>
          <w:tcPr>
            <w:tcW w:w="472" w:type="dxa"/>
          </w:tcPr>
          <w:p w:rsidR="00390E9F" w:rsidRDefault="00390E9F" w:rsidP="00F903A5">
            <w:pPr>
              <w:jc w:val="both"/>
              <w:rPr>
                <w:rFonts w:ascii="Arial" w:hAnsi="Arial" w:cs="Arial"/>
                <w:sz w:val="20"/>
                <w:szCs w:val="20"/>
              </w:rPr>
            </w:pPr>
            <w:r>
              <w:rPr>
                <w:rFonts w:ascii="Arial" w:hAnsi="Arial" w:cs="Arial"/>
                <w:sz w:val="20"/>
                <w:szCs w:val="20"/>
              </w:rPr>
              <w:t>No</w:t>
            </w:r>
          </w:p>
        </w:tc>
        <w:tc>
          <w:tcPr>
            <w:tcW w:w="2266" w:type="dxa"/>
          </w:tcPr>
          <w:p w:rsidR="00390E9F" w:rsidRDefault="00390E9F" w:rsidP="00390E9F">
            <w:pPr>
              <w:jc w:val="both"/>
              <w:rPr>
                <w:rFonts w:ascii="Arial" w:hAnsi="Arial" w:cs="Arial"/>
                <w:sz w:val="20"/>
                <w:szCs w:val="20"/>
              </w:rPr>
            </w:pPr>
            <w:r>
              <w:rPr>
                <w:rFonts w:ascii="Arial" w:hAnsi="Arial" w:cs="Arial"/>
                <w:sz w:val="20"/>
                <w:szCs w:val="20"/>
              </w:rPr>
              <w:t>Investment items (projects)</w:t>
            </w:r>
          </w:p>
        </w:tc>
        <w:tc>
          <w:tcPr>
            <w:tcW w:w="1367" w:type="dxa"/>
          </w:tcPr>
          <w:p w:rsidR="00390E9F" w:rsidRDefault="00390E9F" w:rsidP="00F903A5">
            <w:pPr>
              <w:jc w:val="both"/>
              <w:rPr>
                <w:rFonts w:ascii="Arial" w:hAnsi="Arial" w:cs="Arial"/>
                <w:sz w:val="20"/>
                <w:szCs w:val="20"/>
              </w:rPr>
            </w:pPr>
            <w:r>
              <w:rPr>
                <w:rFonts w:ascii="Arial" w:hAnsi="Arial" w:cs="Arial"/>
                <w:sz w:val="20"/>
                <w:szCs w:val="20"/>
              </w:rPr>
              <w:t>Unit</w:t>
            </w:r>
          </w:p>
        </w:tc>
        <w:tc>
          <w:tcPr>
            <w:tcW w:w="1367" w:type="dxa"/>
          </w:tcPr>
          <w:p w:rsidR="00390E9F" w:rsidRDefault="00390E9F" w:rsidP="00F903A5">
            <w:pPr>
              <w:jc w:val="both"/>
              <w:rPr>
                <w:rFonts w:ascii="Arial" w:hAnsi="Arial" w:cs="Arial"/>
                <w:sz w:val="20"/>
                <w:szCs w:val="20"/>
              </w:rPr>
            </w:pPr>
            <w:r>
              <w:rPr>
                <w:rFonts w:ascii="Arial" w:hAnsi="Arial" w:cs="Arial"/>
                <w:sz w:val="20"/>
                <w:szCs w:val="20"/>
              </w:rPr>
              <w:t>Quantity</w:t>
            </w:r>
          </w:p>
        </w:tc>
        <w:tc>
          <w:tcPr>
            <w:tcW w:w="1368" w:type="dxa"/>
          </w:tcPr>
          <w:p w:rsidR="00390E9F" w:rsidRDefault="00390E9F" w:rsidP="00F903A5">
            <w:pPr>
              <w:jc w:val="both"/>
              <w:rPr>
                <w:rFonts w:ascii="Arial" w:hAnsi="Arial" w:cs="Arial"/>
                <w:sz w:val="20"/>
                <w:szCs w:val="20"/>
              </w:rPr>
            </w:pPr>
            <w:r>
              <w:rPr>
                <w:rFonts w:ascii="Arial" w:hAnsi="Arial" w:cs="Arial"/>
                <w:sz w:val="20"/>
                <w:szCs w:val="20"/>
              </w:rPr>
              <w:t>Execution time</w:t>
            </w:r>
          </w:p>
        </w:tc>
        <w:tc>
          <w:tcPr>
            <w:tcW w:w="1368" w:type="dxa"/>
          </w:tcPr>
          <w:p w:rsidR="00390E9F" w:rsidRDefault="00390E9F" w:rsidP="00F903A5">
            <w:pPr>
              <w:jc w:val="both"/>
              <w:rPr>
                <w:rFonts w:ascii="Arial" w:hAnsi="Arial" w:cs="Arial"/>
                <w:sz w:val="20"/>
                <w:szCs w:val="20"/>
              </w:rPr>
            </w:pPr>
            <w:r>
              <w:rPr>
                <w:rFonts w:ascii="Arial" w:hAnsi="Arial" w:cs="Arial"/>
                <w:sz w:val="20"/>
                <w:szCs w:val="20"/>
              </w:rPr>
              <w:t xml:space="preserve">Expected investment </w:t>
            </w:r>
          </w:p>
        </w:tc>
        <w:tc>
          <w:tcPr>
            <w:tcW w:w="1368" w:type="dxa"/>
          </w:tcPr>
          <w:p w:rsidR="00390E9F" w:rsidRDefault="00390E9F" w:rsidP="00F903A5">
            <w:pPr>
              <w:jc w:val="both"/>
              <w:rPr>
                <w:rFonts w:ascii="Arial" w:hAnsi="Arial" w:cs="Arial"/>
                <w:sz w:val="20"/>
                <w:szCs w:val="20"/>
              </w:rPr>
            </w:pPr>
            <w:r>
              <w:rPr>
                <w:rFonts w:ascii="Arial" w:hAnsi="Arial" w:cs="Arial"/>
                <w:sz w:val="20"/>
                <w:szCs w:val="20"/>
              </w:rPr>
              <w:t>2019 investment plan</w:t>
            </w:r>
          </w:p>
        </w:tc>
      </w:tr>
      <w:tr w:rsidR="00BA7C2C" w:rsidTr="00390E9F">
        <w:tc>
          <w:tcPr>
            <w:tcW w:w="472" w:type="dxa"/>
          </w:tcPr>
          <w:p w:rsidR="00BA7C2C" w:rsidRDefault="00BA7C2C" w:rsidP="00F903A5">
            <w:pPr>
              <w:jc w:val="both"/>
              <w:rPr>
                <w:rFonts w:ascii="Arial" w:hAnsi="Arial" w:cs="Arial"/>
                <w:sz w:val="20"/>
                <w:szCs w:val="20"/>
              </w:rPr>
            </w:pPr>
            <w:r>
              <w:rPr>
                <w:rFonts w:ascii="Arial" w:hAnsi="Arial" w:cs="Arial"/>
                <w:sz w:val="20"/>
                <w:szCs w:val="20"/>
              </w:rPr>
              <w:t>1</w:t>
            </w:r>
          </w:p>
        </w:tc>
        <w:tc>
          <w:tcPr>
            <w:tcW w:w="2266" w:type="dxa"/>
          </w:tcPr>
          <w:p w:rsidR="00BA7C2C" w:rsidRDefault="00BA7C2C" w:rsidP="00390E9F">
            <w:pPr>
              <w:jc w:val="both"/>
              <w:rPr>
                <w:rFonts w:ascii="Arial" w:hAnsi="Arial" w:cs="Arial"/>
                <w:sz w:val="20"/>
                <w:szCs w:val="20"/>
              </w:rPr>
            </w:pPr>
            <w:r>
              <w:rPr>
                <w:rFonts w:ascii="Arial" w:hAnsi="Arial" w:cs="Arial"/>
                <w:sz w:val="20"/>
                <w:szCs w:val="20"/>
              </w:rPr>
              <w:t>2.5  ton</w:t>
            </w:r>
            <w:r w:rsidRPr="00390E9F">
              <w:rPr>
                <w:rFonts w:ascii="Arial" w:hAnsi="Arial" w:cs="Arial"/>
                <w:sz w:val="20"/>
                <w:szCs w:val="20"/>
              </w:rPr>
              <w:t xml:space="preserve"> Forklift </w:t>
            </w:r>
          </w:p>
        </w:tc>
        <w:tc>
          <w:tcPr>
            <w:tcW w:w="1367" w:type="dxa"/>
          </w:tcPr>
          <w:p w:rsidR="00BA7C2C" w:rsidRDefault="00BA7C2C" w:rsidP="00F903A5">
            <w:pPr>
              <w:jc w:val="both"/>
              <w:rPr>
                <w:rFonts w:ascii="Arial" w:hAnsi="Arial" w:cs="Arial"/>
                <w:sz w:val="20"/>
                <w:szCs w:val="20"/>
              </w:rPr>
            </w:pPr>
            <w:r>
              <w:rPr>
                <w:rFonts w:ascii="Arial" w:hAnsi="Arial" w:cs="Arial"/>
                <w:sz w:val="20"/>
                <w:szCs w:val="20"/>
              </w:rPr>
              <w:t>Pcs</w:t>
            </w:r>
          </w:p>
        </w:tc>
        <w:tc>
          <w:tcPr>
            <w:tcW w:w="1367" w:type="dxa"/>
          </w:tcPr>
          <w:p w:rsidR="00BA7C2C" w:rsidRDefault="00BA7C2C" w:rsidP="00F903A5">
            <w:pPr>
              <w:jc w:val="both"/>
              <w:rPr>
                <w:rFonts w:ascii="Arial" w:hAnsi="Arial" w:cs="Arial"/>
                <w:sz w:val="20"/>
                <w:szCs w:val="20"/>
              </w:rPr>
            </w:pPr>
            <w:r>
              <w:rPr>
                <w:rFonts w:ascii="Arial" w:hAnsi="Arial" w:cs="Arial"/>
                <w:sz w:val="20"/>
                <w:szCs w:val="20"/>
              </w:rPr>
              <w:t>1</w:t>
            </w:r>
          </w:p>
        </w:tc>
        <w:tc>
          <w:tcPr>
            <w:tcW w:w="1368" w:type="dxa"/>
          </w:tcPr>
          <w:p w:rsidR="00BA7C2C" w:rsidRDefault="00BA7C2C" w:rsidP="00F903A5">
            <w:pPr>
              <w:jc w:val="both"/>
              <w:rPr>
                <w:rFonts w:ascii="Arial" w:hAnsi="Arial" w:cs="Arial"/>
                <w:sz w:val="20"/>
                <w:szCs w:val="20"/>
              </w:rPr>
            </w:pPr>
            <w:r>
              <w:rPr>
                <w:rFonts w:ascii="Arial" w:hAnsi="Arial" w:cs="Arial"/>
                <w:sz w:val="20"/>
                <w:szCs w:val="20"/>
              </w:rPr>
              <w:t>Q.II/ 2020</w:t>
            </w:r>
          </w:p>
        </w:tc>
        <w:tc>
          <w:tcPr>
            <w:tcW w:w="1368" w:type="dxa"/>
          </w:tcPr>
          <w:p w:rsidR="00BA7C2C" w:rsidRDefault="00BA7C2C" w:rsidP="00F903A5">
            <w:pPr>
              <w:jc w:val="both"/>
              <w:rPr>
                <w:rFonts w:ascii="Arial" w:hAnsi="Arial" w:cs="Arial"/>
                <w:sz w:val="20"/>
                <w:szCs w:val="20"/>
              </w:rPr>
            </w:pPr>
            <w:r>
              <w:rPr>
                <w:rFonts w:ascii="Arial" w:hAnsi="Arial" w:cs="Arial"/>
                <w:sz w:val="20"/>
                <w:szCs w:val="20"/>
              </w:rPr>
              <w:t>350</w:t>
            </w:r>
          </w:p>
        </w:tc>
        <w:tc>
          <w:tcPr>
            <w:tcW w:w="1368" w:type="dxa"/>
          </w:tcPr>
          <w:p w:rsidR="00BA7C2C" w:rsidRDefault="00BA7C2C" w:rsidP="0012495E">
            <w:pPr>
              <w:jc w:val="both"/>
              <w:rPr>
                <w:rFonts w:ascii="Arial" w:hAnsi="Arial" w:cs="Arial"/>
                <w:sz w:val="20"/>
                <w:szCs w:val="20"/>
              </w:rPr>
            </w:pPr>
            <w:r>
              <w:rPr>
                <w:rFonts w:ascii="Arial" w:hAnsi="Arial" w:cs="Arial"/>
                <w:sz w:val="20"/>
                <w:szCs w:val="20"/>
              </w:rPr>
              <w:t>350</w:t>
            </w:r>
          </w:p>
        </w:tc>
      </w:tr>
      <w:tr w:rsidR="00BA7C2C" w:rsidTr="00390E9F">
        <w:tc>
          <w:tcPr>
            <w:tcW w:w="472" w:type="dxa"/>
          </w:tcPr>
          <w:p w:rsidR="00BA7C2C" w:rsidRDefault="00BA7C2C" w:rsidP="00F903A5">
            <w:pPr>
              <w:jc w:val="both"/>
              <w:rPr>
                <w:rFonts w:ascii="Arial" w:hAnsi="Arial" w:cs="Arial"/>
                <w:sz w:val="20"/>
                <w:szCs w:val="20"/>
              </w:rPr>
            </w:pPr>
            <w:r>
              <w:rPr>
                <w:rFonts w:ascii="Arial" w:hAnsi="Arial" w:cs="Arial"/>
                <w:sz w:val="20"/>
                <w:szCs w:val="20"/>
              </w:rPr>
              <w:t>2</w:t>
            </w:r>
          </w:p>
        </w:tc>
        <w:tc>
          <w:tcPr>
            <w:tcW w:w="2266" w:type="dxa"/>
          </w:tcPr>
          <w:p w:rsidR="00BA7C2C" w:rsidRDefault="00BA7C2C" w:rsidP="00F903A5">
            <w:pPr>
              <w:jc w:val="both"/>
              <w:rPr>
                <w:rFonts w:ascii="Arial" w:hAnsi="Arial" w:cs="Arial"/>
                <w:sz w:val="20"/>
                <w:szCs w:val="20"/>
              </w:rPr>
            </w:pPr>
            <w:r>
              <w:rPr>
                <w:rFonts w:ascii="Arial" w:hAnsi="Arial" w:cs="Arial"/>
                <w:sz w:val="20"/>
                <w:szCs w:val="20"/>
              </w:rPr>
              <w:t xml:space="preserve">Semi-automatic </w:t>
            </w:r>
            <w:r w:rsidRPr="00390E9F">
              <w:rPr>
                <w:rFonts w:ascii="Arial" w:hAnsi="Arial" w:cs="Arial"/>
                <w:sz w:val="20"/>
                <w:szCs w:val="20"/>
              </w:rPr>
              <w:t xml:space="preserve">tile </w:t>
            </w:r>
            <w:r w:rsidRPr="00390E9F">
              <w:rPr>
                <w:rFonts w:ascii="Arial" w:hAnsi="Arial" w:cs="Arial"/>
                <w:sz w:val="20"/>
                <w:szCs w:val="20"/>
              </w:rPr>
              <w:lastRenderedPageBreak/>
              <w:t>press</w:t>
            </w:r>
            <w:r>
              <w:rPr>
                <w:rFonts w:ascii="Arial" w:hAnsi="Arial" w:cs="Arial"/>
                <w:sz w:val="20"/>
                <w:szCs w:val="20"/>
              </w:rPr>
              <w:t>er</w:t>
            </w:r>
          </w:p>
        </w:tc>
        <w:tc>
          <w:tcPr>
            <w:tcW w:w="1367" w:type="dxa"/>
          </w:tcPr>
          <w:p w:rsidR="00BA7C2C" w:rsidRDefault="00BA7C2C">
            <w:r w:rsidRPr="00793723">
              <w:rPr>
                <w:rFonts w:ascii="Arial" w:hAnsi="Arial" w:cs="Arial"/>
                <w:sz w:val="20"/>
                <w:szCs w:val="20"/>
              </w:rPr>
              <w:lastRenderedPageBreak/>
              <w:t>Pcs</w:t>
            </w:r>
          </w:p>
        </w:tc>
        <w:tc>
          <w:tcPr>
            <w:tcW w:w="1367" w:type="dxa"/>
          </w:tcPr>
          <w:p w:rsidR="00BA7C2C" w:rsidRDefault="00BA7C2C" w:rsidP="00F903A5">
            <w:pPr>
              <w:jc w:val="both"/>
              <w:rPr>
                <w:rFonts w:ascii="Arial" w:hAnsi="Arial" w:cs="Arial"/>
                <w:sz w:val="20"/>
                <w:szCs w:val="20"/>
              </w:rPr>
            </w:pPr>
            <w:r>
              <w:rPr>
                <w:rFonts w:ascii="Arial" w:hAnsi="Arial" w:cs="Arial"/>
                <w:sz w:val="20"/>
                <w:szCs w:val="20"/>
              </w:rPr>
              <w:t>2</w:t>
            </w:r>
          </w:p>
        </w:tc>
        <w:tc>
          <w:tcPr>
            <w:tcW w:w="1368" w:type="dxa"/>
          </w:tcPr>
          <w:p w:rsidR="00BA7C2C" w:rsidRDefault="00BA7C2C" w:rsidP="00911C0D">
            <w:pPr>
              <w:jc w:val="both"/>
              <w:rPr>
                <w:rFonts w:ascii="Arial" w:hAnsi="Arial" w:cs="Arial"/>
                <w:sz w:val="20"/>
                <w:szCs w:val="20"/>
              </w:rPr>
            </w:pPr>
            <w:r>
              <w:rPr>
                <w:rFonts w:ascii="Arial" w:hAnsi="Arial" w:cs="Arial"/>
                <w:sz w:val="20"/>
                <w:szCs w:val="20"/>
              </w:rPr>
              <w:t>Q.I/ 2020</w:t>
            </w:r>
          </w:p>
        </w:tc>
        <w:tc>
          <w:tcPr>
            <w:tcW w:w="1368" w:type="dxa"/>
          </w:tcPr>
          <w:p w:rsidR="00BA7C2C" w:rsidRDefault="00BA7C2C" w:rsidP="00F903A5">
            <w:pPr>
              <w:jc w:val="both"/>
              <w:rPr>
                <w:rFonts w:ascii="Arial" w:hAnsi="Arial" w:cs="Arial"/>
                <w:sz w:val="20"/>
                <w:szCs w:val="20"/>
              </w:rPr>
            </w:pPr>
            <w:r>
              <w:rPr>
                <w:rFonts w:ascii="Arial" w:hAnsi="Arial" w:cs="Arial"/>
                <w:sz w:val="20"/>
                <w:szCs w:val="20"/>
              </w:rPr>
              <w:t>150</w:t>
            </w:r>
          </w:p>
        </w:tc>
        <w:tc>
          <w:tcPr>
            <w:tcW w:w="1368" w:type="dxa"/>
          </w:tcPr>
          <w:p w:rsidR="00BA7C2C" w:rsidRDefault="00BA7C2C" w:rsidP="0012495E">
            <w:pPr>
              <w:jc w:val="both"/>
              <w:rPr>
                <w:rFonts w:ascii="Arial" w:hAnsi="Arial" w:cs="Arial"/>
                <w:sz w:val="20"/>
                <w:szCs w:val="20"/>
              </w:rPr>
            </w:pPr>
            <w:r>
              <w:rPr>
                <w:rFonts w:ascii="Arial" w:hAnsi="Arial" w:cs="Arial"/>
                <w:sz w:val="20"/>
                <w:szCs w:val="20"/>
              </w:rPr>
              <w:t>150</w:t>
            </w:r>
          </w:p>
        </w:tc>
      </w:tr>
      <w:tr w:rsidR="00BA7C2C" w:rsidTr="00390E9F">
        <w:tc>
          <w:tcPr>
            <w:tcW w:w="472" w:type="dxa"/>
          </w:tcPr>
          <w:p w:rsidR="00BA7C2C" w:rsidRDefault="00BA7C2C" w:rsidP="00F903A5">
            <w:pPr>
              <w:jc w:val="both"/>
              <w:rPr>
                <w:rFonts w:ascii="Arial" w:hAnsi="Arial" w:cs="Arial"/>
                <w:sz w:val="20"/>
                <w:szCs w:val="20"/>
              </w:rPr>
            </w:pPr>
            <w:r>
              <w:rPr>
                <w:rFonts w:ascii="Arial" w:hAnsi="Arial" w:cs="Arial"/>
                <w:sz w:val="20"/>
                <w:szCs w:val="20"/>
              </w:rPr>
              <w:lastRenderedPageBreak/>
              <w:t>3</w:t>
            </w:r>
          </w:p>
        </w:tc>
        <w:tc>
          <w:tcPr>
            <w:tcW w:w="2266" w:type="dxa"/>
          </w:tcPr>
          <w:p w:rsidR="00BA7C2C" w:rsidRDefault="00BA7C2C" w:rsidP="00F903A5">
            <w:pPr>
              <w:jc w:val="both"/>
              <w:rPr>
                <w:rFonts w:ascii="Arial" w:hAnsi="Arial" w:cs="Arial"/>
                <w:sz w:val="20"/>
                <w:szCs w:val="20"/>
              </w:rPr>
            </w:pPr>
            <w:r>
              <w:rPr>
                <w:rFonts w:ascii="Arial" w:hAnsi="Arial" w:cs="Arial"/>
                <w:sz w:val="20"/>
                <w:szCs w:val="20"/>
              </w:rPr>
              <w:t>A</w:t>
            </w:r>
            <w:r w:rsidRPr="00390E9F">
              <w:rPr>
                <w:rFonts w:ascii="Arial" w:hAnsi="Arial" w:cs="Arial"/>
                <w:sz w:val="20"/>
                <w:szCs w:val="20"/>
              </w:rPr>
              <w:t>utomatic cross</w:t>
            </w:r>
            <w:r>
              <w:rPr>
                <w:rFonts w:ascii="Arial" w:hAnsi="Arial" w:cs="Arial"/>
                <w:sz w:val="20"/>
                <w:szCs w:val="20"/>
              </w:rPr>
              <w:t xml:space="preserve"> cutter</w:t>
            </w:r>
          </w:p>
        </w:tc>
        <w:tc>
          <w:tcPr>
            <w:tcW w:w="1367" w:type="dxa"/>
          </w:tcPr>
          <w:p w:rsidR="00BA7C2C" w:rsidRDefault="00BA7C2C">
            <w:r w:rsidRPr="00793723">
              <w:rPr>
                <w:rFonts w:ascii="Arial" w:hAnsi="Arial" w:cs="Arial"/>
                <w:sz w:val="20"/>
                <w:szCs w:val="20"/>
              </w:rPr>
              <w:t>Pcs</w:t>
            </w:r>
          </w:p>
        </w:tc>
        <w:tc>
          <w:tcPr>
            <w:tcW w:w="1367" w:type="dxa"/>
          </w:tcPr>
          <w:p w:rsidR="00BA7C2C" w:rsidRDefault="00BA7C2C" w:rsidP="00F903A5">
            <w:pPr>
              <w:jc w:val="both"/>
              <w:rPr>
                <w:rFonts w:ascii="Arial" w:hAnsi="Arial" w:cs="Arial"/>
                <w:sz w:val="20"/>
                <w:szCs w:val="20"/>
              </w:rPr>
            </w:pPr>
            <w:r>
              <w:rPr>
                <w:rFonts w:ascii="Arial" w:hAnsi="Arial" w:cs="Arial"/>
                <w:sz w:val="20"/>
                <w:szCs w:val="20"/>
              </w:rPr>
              <w:t>2</w:t>
            </w:r>
          </w:p>
        </w:tc>
        <w:tc>
          <w:tcPr>
            <w:tcW w:w="1368" w:type="dxa"/>
          </w:tcPr>
          <w:p w:rsidR="00BA7C2C" w:rsidRDefault="00BA7C2C" w:rsidP="00F903A5">
            <w:pPr>
              <w:jc w:val="both"/>
              <w:rPr>
                <w:rFonts w:ascii="Arial" w:hAnsi="Arial" w:cs="Arial"/>
                <w:sz w:val="20"/>
                <w:szCs w:val="20"/>
              </w:rPr>
            </w:pPr>
            <w:r>
              <w:rPr>
                <w:rFonts w:ascii="Arial" w:hAnsi="Arial" w:cs="Arial"/>
                <w:sz w:val="20"/>
                <w:szCs w:val="20"/>
              </w:rPr>
              <w:t>Q.II/ 2020</w:t>
            </w:r>
          </w:p>
        </w:tc>
        <w:tc>
          <w:tcPr>
            <w:tcW w:w="1368" w:type="dxa"/>
          </w:tcPr>
          <w:p w:rsidR="00BA7C2C" w:rsidRDefault="00BA7C2C" w:rsidP="00F903A5">
            <w:pPr>
              <w:jc w:val="both"/>
              <w:rPr>
                <w:rFonts w:ascii="Arial" w:hAnsi="Arial" w:cs="Arial"/>
                <w:sz w:val="20"/>
                <w:szCs w:val="20"/>
              </w:rPr>
            </w:pPr>
            <w:r>
              <w:rPr>
                <w:rFonts w:ascii="Arial" w:hAnsi="Arial" w:cs="Arial"/>
                <w:sz w:val="20"/>
                <w:szCs w:val="20"/>
              </w:rPr>
              <w:t>120</w:t>
            </w:r>
          </w:p>
        </w:tc>
        <w:tc>
          <w:tcPr>
            <w:tcW w:w="1368" w:type="dxa"/>
          </w:tcPr>
          <w:p w:rsidR="00BA7C2C" w:rsidRDefault="00BA7C2C" w:rsidP="0012495E">
            <w:pPr>
              <w:jc w:val="both"/>
              <w:rPr>
                <w:rFonts w:ascii="Arial" w:hAnsi="Arial" w:cs="Arial"/>
                <w:sz w:val="20"/>
                <w:szCs w:val="20"/>
              </w:rPr>
            </w:pPr>
            <w:r>
              <w:rPr>
                <w:rFonts w:ascii="Arial" w:hAnsi="Arial" w:cs="Arial"/>
                <w:sz w:val="20"/>
                <w:szCs w:val="20"/>
              </w:rPr>
              <w:t>120</w:t>
            </w:r>
          </w:p>
        </w:tc>
      </w:tr>
      <w:tr w:rsidR="00BA7C2C" w:rsidTr="00390E9F">
        <w:tc>
          <w:tcPr>
            <w:tcW w:w="472" w:type="dxa"/>
          </w:tcPr>
          <w:p w:rsidR="00BA7C2C" w:rsidRDefault="00BA7C2C" w:rsidP="00F903A5">
            <w:pPr>
              <w:jc w:val="both"/>
              <w:rPr>
                <w:rFonts w:ascii="Arial" w:hAnsi="Arial" w:cs="Arial"/>
                <w:sz w:val="20"/>
                <w:szCs w:val="20"/>
              </w:rPr>
            </w:pPr>
            <w:r>
              <w:rPr>
                <w:rFonts w:ascii="Arial" w:hAnsi="Arial" w:cs="Arial"/>
                <w:sz w:val="20"/>
                <w:szCs w:val="20"/>
              </w:rPr>
              <w:t>4</w:t>
            </w:r>
          </w:p>
        </w:tc>
        <w:tc>
          <w:tcPr>
            <w:tcW w:w="2266" w:type="dxa"/>
          </w:tcPr>
          <w:p w:rsidR="00BA7C2C" w:rsidRDefault="00BA7C2C" w:rsidP="00F903A5">
            <w:pPr>
              <w:jc w:val="both"/>
              <w:rPr>
                <w:rFonts w:ascii="Arial" w:hAnsi="Arial" w:cs="Arial"/>
                <w:sz w:val="20"/>
                <w:szCs w:val="20"/>
              </w:rPr>
            </w:pPr>
            <w:r>
              <w:rPr>
                <w:rFonts w:ascii="Arial" w:hAnsi="Arial" w:cs="Arial"/>
                <w:sz w:val="20"/>
                <w:szCs w:val="20"/>
              </w:rPr>
              <w:t>Mechanical lathe</w:t>
            </w:r>
          </w:p>
        </w:tc>
        <w:tc>
          <w:tcPr>
            <w:tcW w:w="1367" w:type="dxa"/>
          </w:tcPr>
          <w:p w:rsidR="00BA7C2C" w:rsidRDefault="00BA7C2C">
            <w:r w:rsidRPr="00793723">
              <w:rPr>
                <w:rFonts w:ascii="Arial" w:hAnsi="Arial" w:cs="Arial"/>
                <w:sz w:val="20"/>
                <w:szCs w:val="20"/>
              </w:rPr>
              <w:t>Pcs</w:t>
            </w:r>
          </w:p>
        </w:tc>
        <w:tc>
          <w:tcPr>
            <w:tcW w:w="1367" w:type="dxa"/>
          </w:tcPr>
          <w:p w:rsidR="00BA7C2C" w:rsidRDefault="00BA7C2C" w:rsidP="00F903A5">
            <w:pPr>
              <w:jc w:val="both"/>
              <w:rPr>
                <w:rFonts w:ascii="Arial" w:hAnsi="Arial" w:cs="Arial"/>
                <w:sz w:val="20"/>
                <w:szCs w:val="20"/>
              </w:rPr>
            </w:pPr>
            <w:r>
              <w:rPr>
                <w:rFonts w:ascii="Arial" w:hAnsi="Arial" w:cs="Arial"/>
                <w:sz w:val="20"/>
                <w:szCs w:val="20"/>
              </w:rPr>
              <w:t>1</w:t>
            </w:r>
          </w:p>
        </w:tc>
        <w:tc>
          <w:tcPr>
            <w:tcW w:w="1368" w:type="dxa"/>
          </w:tcPr>
          <w:p w:rsidR="00BA7C2C" w:rsidRDefault="00BA7C2C" w:rsidP="00BA7C2C">
            <w:pPr>
              <w:jc w:val="both"/>
              <w:rPr>
                <w:rFonts w:ascii="Arial" w:hAnsi="Arial" w:cs="Arial"/>
                <w:sz w:val="20"/>
                <w:szCs w:val="20"/>
              </w:rPr>
            </w:pPr>
            <w:r>
              <w:rPr>
                <w:rFonts w:ascii="Arial" w:hAnsi="Arial" w:cs="Arial"/>
                <w:sz w:val="20"/>
                <w:szCs w:val="20"/>
              </w:rPr>
              <w:t>Q.I/ 2020</w:t>
            </w:r>
          </w:p>
        </w:tc>
        <w:tc>
          <w:tcPr>
            <w:tcW w:w="1368" w:type="dxa"/>
          </w:tcPr>
          <w:p w:rsidR="00BA7C2C" w:rsidRDefault="00BA7C2C" w:rsidP="00F903A5">
            <w:pPr>
              <w:jc w:val="both"/>
              <w:rPr>
                <w:rFonts w:ascii="Arial" w:hAnsi="Arial" w:cs="Arial"/>
                <w:sz w:val="20"/>
                <w:szCs w:val="20"/>
              </w:rPr>
            </w:pPr>
            <w:r>
              <w:rPr>
                <w:rFonts w:ascii="Arial" w:hAnsi="Arial" w:cs="Arial"/>
                <w:sz w:val="20"/>
                <w:szCs w:val="20"/>
              </w:rPr>
              <w:t>150</w:t>
            </w:r>
          </w:p>
        </w:tc>
        <w:tc>
          <w:tcPr>
            <w:tcW w:w="1368" w:type="dxa"/>
          </w:tcPr>
          <w:p w:rsidR="00BA7C2C" w:rsidRDefault="00BA7C2C" w:rsidP="0012495E">
            <w:pPr>
              <w:jc w:val="both"/>
              <w:rPr>
                <w:rFonts w:ascii="Arial" w:hAnsi="Arial" w:cs="Arial"/>
                <w:sz w:val="20"/>
                <w:szCs w:val="20"/>
              </w:rPr>
            </w:pPr>
            <w:r>
              <w:rPr>
                <w:rFonts w:ascii="Arial" w:hAnsi="Arial" w:cs="Arial"/>
                <w:sz w:val="20"/>
                <w:szCs w:val="20"/>
              </w:rPr>
              <w:t>150</w:t>
            </w:r>
          </w:p>
        </w:tc>
      </w:tr>
      <w:tr w:rsidR="00BA7C2C" w:rsidTr="00390E9F">
        <w:tc>
          <w:tcPr>
            <w:tcW w:w="472" w:type="dxa"/>
          </w:tcPr>
          <w:p w:rsidR="00BA7C2C" w:rsidRDefault="00BA7C2C" w:rsidP="00F903A5">
            <w:pPr>
              <w:jc w:val="both"/>
              <w:rPr>
                <w:rFonts w:ascii="Arial" w:hAnsi="Arial" w:cs="Arial"/>
                <w:sz w:val="20"/>
                <w:szCs w:val="20"/>
              </w:rPr>
            </w:pPr>
            <w:r>
              <w:rPr>
                <w:rFonts w:ascii="Arial" w:hAnsi="Arial" w:cs="Arial"/>
                <w:sz w:val="20"/>
                <w:szCs w:val="20"/>
              </w:rPr>
              <w:t>5</w:t>
            </w:r>
          </w:p>
        </w:tc>
        <w:tc>
          <w:tcPr>
            <w:tcW w:w="2266" w:type="dxa"/>
          </w:tcPr>
          <w:p w:rsidR="00BA7C2C" w:rsidRDefault="00BA7C2C" w:rsidP="00F903A5">
            <w:pPr>
              <w:jc w:val="both"/>
              <w:rPr>
                <w:rFonts w:ascii="Arial" w:hAnsi="Arial" w:cs="Arial"/>
                <w:sz w:val="20"/>
                <w:szCs w:val="20"/>
              </w:rPr>
            </w:pPr>
            <w:r>
              <w:rPr>
                <w:rFonts w:ascii="Arial" w:hAnsi="Arial" w:cs="Arial"/>
                <w:sz w:val="20"/>
                <w:szCs w:val="20"/>
              </w:rPr>
              <w:t>M</w:t>
            </w:r>
            <w:r w:rsidRPr="00BA7C2C">
              <w:rPr>
                <w:rFonts w:ascii="Arial" w:hAnsi="Arial" w:cs="Arial"/>
                <w:sz w:val="20"/>
                <w:szCs w:val="20"/>
              </w:rPr>
              <w:t>illing machine</w:t>
            </w:r>
          </w:p>
        </w:tc>
        <w:tc>
          <w:tcPr>
            <w:tcW w:w="1367" w:type="dxa"/>
          </w:tcPr>
          <w:p w:rsidR="00BA7C2C" w:rsidRDefault="00BA7C2C">
            <w:r w:rsidRPr="00793723">
              <w:rPr>
                <w:rFonts w:ascii="Arial" w:hAnsi="Arial" w:cs="Arial"/>
                <w:sz w:val="20"/>
                <w:szCs w:val="20"/>
              </w:rPr>
              <w:t>Pcs</w:t>
            </w:r>
          </w:p>
        </w:tc>
        <w:tc>
          <w:tcPr>
            <w:tcW w:w="1367" w:type="dxa"/>
          </w:tcPr>
          <w:p w:rsidR="00BA7C2C" w:rsidRDefault="00BA7C2C" w:rsidP="00F903A5">
            <w:pPr>
              <w:jc w:val="both"/>
              <w:rPr>
                <w:rFonts w:ascii="Arial" w:hAnsi="Arial" w:cs="Arial"/>
                <w:sz w:val="20"/>
                <w:szCs w:val="20"/>
              </w:rPr>
            </w:pPr>
            <w:r>
              <w:rPr>
                <w:rFonts w:ascii="Arial" w:hAnsi="Arial" w:cs="Arial"/>
                <w:sz w:val="20"/>
                <w:szCs w:val="20"/>
              </w:rPr>
              <w:t>1</w:t>
            </w:r>
          </w:p>
        </w:tc>
        <w:tc>
          <w:tcPr>
            <w:tcW w:w="1368" w:type="dxa"/>
          </w:tcPr>
          <w:p w:rsidR="00BA7C2C" w:rsidRDefault="00BA7C2C" w:rsidP="00BA7C2C">
            <w:pPr>
              <w:jc w:val="both"/>
              <w:rPr>
                <w:rFonts w:ascii="Arial" w:hAnsi="Arial" w:cs="Arial"/>
                <w:sz w:val="20"/>
                <w:szCs w:val="20"/>
              </w:rPr>
            </w:pPr>
            <w:r>
              <w:rPr>
                <w:rFonts w:ascii="Arial" w:hAnsi="Arial" w:cs="Arial"/>
                <w:sz w:val="20"/>
                <w:szCs w:val="20"/>
              </w:rPr>
              <w:t>Q.IV/ 2020</w:t>
            </w:r>
          </w:p>
        </w:tc>
        <w:tc>
          <w:tcPr>
            <w:tcW w:w="1368" w:type="dxa"/>
          </w:tcPr>
          <w:p w:rsidR="00BA7C2C" w:rsidRDefault="00BA7C2C" w:rsidP="00F903A5">
            <w:pPr>
              <w:jc w:val="both"/>
              <w:rPr>
                <w:rFonts w:ascii="Arial" w:hAnsi="Arial" w:cs="Arial"/>
                <w:sz w:val="20"/>
                <w:szCs w:val="20"/>
              </w:rPr>
            </w:pPr>
            <w:r>
              <w:rPr>
                <w:rFonts w:ascii="Arial" w:hAnsi="Arial" w:cs="Arial"/>
                <w:sz w:val="20"/>
                <w:szCs w:val="20"/>
              </w:rPr>
              <w:t>150</w:t>
            </w:r>
          </w:p>
        </w:tc>
        <w:tc>
          <w:tcPr>
            <w:tcW w:w="1368" w:type="dxa"/>
          </w:tcPr>
          <w:p w:rsidR="00BA7C2C" w:rsidRDefault="00BA7C2C" w:rsidP="0012495E">
            <w:pPr>
              <w:jc w:val="both"/>
              <w:rPr>
                <w:rFonts w:ascii="Arial" w:hAnsi="Arial" w:cs="Arial"/>
                <w:sz w:val="20"/>
                <w:szCs w:val="20"/>
              </w:rPr>
            </w:pPr>
            <w:r>
              <w:rPr>
                <w:rFonts w:ascii="Arial" w:hAnsi="Arial" w:cs="Arial"/>
                <w:sz w:val="20"/>
                <w:szCs w:val="20"/>
              </w:rPr>
              <w:t>150</w:t>
            </w:r>
          </w:p>
        </w:tc>
      </w:tr>
      <w:tr w:rsidR="00BA7C2C" w:rsidTr="00390E9F">
        <w:tc>
          <w:tcPr>
            <w:tcW w:w="472" w:type="dxa"/>
          </w:tcPr>
          <w:p w:rsidR="00BA7C2C" w:rsidRDefault="00BA7C2C" w:rsidP="00F903A5">
            <w:pPr>
              <w:jc w:val="both"/>
              <w:rPr>
                <w:rFonts w:ascii="Arial" w:hAnsi="Arial" w:cs="Arial"/>
                <w:sz w:val="20"/>
                <w:szCs w:val="20"/>
              </w:rPr>
            </w:pPr>
          </w:p>
        </w:tc>
        <w:tc>
          <w:tcPr>
            <w:tcW w:w="2266" w:type="dxa"/>
          </w:tcPr>
          <w:p w:rsidR="00BA7C2C" w:rsidRDefault="00BA7C2C" w:rsidP="00F903A5">
            <w:pPr>
              <w:jc w:val="both"/>
              <w:rPr>
                <w:rFonts w:ascii="Arial" w:hAnsi="Arial" w:cs="Arial"/>
                <w:sz w:val="20"/>
                <w:szCs w:val="20"/>
              </w:rPr>
            </w:pPr>
            <w:r>
              <w:rPr>
                <w:rFonts w:ascii="Arial" w:hAnsi="Arial" w:cs="Arial"/>
                <w:sz w:val="20"/>
                <w:szCs w:val="20"/>
              </w:rPr>
              <w:t>Total</w:t>
            </w:r>
          </w:p>
        </w:tc>
        <w:tc>
          <w:tcPr>
            <w:tcW w:w="1367" w:type="dxa"/>
          </w:tcPr>
          <w:p w:rsidR="00BA7C2C" w:rsidRPr="00793723" w:rsidRDefault="00BA7C2C">
            <w:pPr>
              <w:rPr>
                <w:rFonts w:ascii="Arial" w:hAnsi="Arial" w:cs="Arial"/>
                <w:sz w:val="20"/>
                <w:szCs w:val="20"/>
              </w:rPr>
            </w:pPr>
          </w:p>
        </w:tc>
        <w:tc>
          <w:tcPr>
            <w:tcW w:w="1367" w:type="dxa"/>
          </w:tcPr>
          <w:p w:rsidR="00BA7C2C" w:rsidRDefault="00BA7C2C" w:rsidP="00F903A5">
            <w:pPr>
              <w:jc w:val="both"/>
              <w:rPr>
                <w:rFonts w:ascii="Arial" w:hAnsi="Arial" w:cs="Arial"/>
                <w:sz w:val="20"/>
                <w:szCs w:val="20"/>
              </w:rPr>
            </w:pPr>
          </w:p>
        </w:tc>
        <w:tc>
          <w:tcPr>
            <w:tcW w:w="1368" w:type="dxa"/>
          </w:tcPr>
          <w:p w:rsidR="00BA7C2C" w:rsidRDefault="00BA7C2C" w:rsidP="00BA7C2C">
            <w:pPr>
              <w:jc w:val="both"/>
              <w:rPr>
                <w:rFonts w:ascii="Arial" w:hAnsi="Arial" w:cs="Arial"/>
                <w:sz w:val="20"/>
                <w:szCs w:val="20"/>
              </w:rPr>
            </w:pPr>
          </w:p>
        </w:tc>
        <w:tc>
          <w:tcPr>
            <w:tcW w:w="1368" w:type="dxa"/>
          </w:tcPr>
          <w:p w:rsidR="00BA7C2C" w:rsidRDefault="00BA7C2C" w:rsidP="00F903A5">
            <w:pPr>
              <w:jc w:val="both"/>
              <w:rPr>
                <w:rFonts w:ascii="Arial" w:hAnsi="Arial" w:cs="Arial"/>
                <w:sz w:val="20"/>
                <w:szCs w:val="20"/>
              </w:rPr>
            </w:pPr>
            <w:r>
              <w:rPr>
                <w:rFonts w:ascii="Arial" w:hAnsi="Arial" w:cs="Arial"/>
                <w:sz w:val="20"/>
                <w:szCs w:val="20"/>
              </w:rPr>
              <w:t>920</w:t>
            </w:r>
          </w:p>
        </w:tc>
        <w:tc>
          <w:tcPr>
            <w:tcW w:w="1368" w:type="dxa"/>
          </w:tcPr>
          <w:p w:rsidR="00BA7C2C" w:rsidRDefault="00BA7C2C" w:rsidP="0012495E">
            <w:pPr>
              <w:jc w:val="both"/>
              <w:rPr>
                <w:rFonts w:ascii="Arial" w:hAnsi="Arial" w:cs="Arial"/>
                <w:sz w:val="20"/>
                <w:szCs w:val="20"/>
              </w:rPr>
            </w:pPr>
            <w:r>
              <w:rPr>
                <w:rFonts w:ascii="Arial" w:hAnsi="Arial" w:cs="Arial"/>
                <w:sz w:val="20"/>
                <w:szCs w:val="20"/>
              </w:rPr>
              <w:t>920</w:t>
            </w:r>
          </w:p>
        </w:tc>
      </w:tr>
    </w:tbl>
    <w:p w:rsidR="00BA7C2C" w:rsidRDefault="00BA7C2C" w:rsidP="00F903A5">
      <w:pPr>
        <w:jc w:val="both"/>
        <w:rPr>
          <w:rFonts w:ascii="Arial" w:hAnsi="Arial" w:cs="Arial"/>
          <w:sz w:val="20"/>
          <w:szCs w:val="20"/>
        </w:rPr>
      </w:pPr>
      <w:r w:rsidRPr="00BA7C2C">
        <w:rPr>
          <w:rFonts w:ascii="Arial" w:hAnsi="Arial" w:cs="Arial"/>
          <w:sz w:val="20"/>
          <w:szCs w:val="20"/>
        </w:rPr>
        <w:t>The General Meeting of Shareholders voted with the percentage of voting shares reach</w:t>
      </w:r>
      <w:r>
        <w:rPr>
          <w:rFonts w:ascii="Arial" w:hAnsi="Arial" w:cs="Arial"/>
          <w:sz w:val="20"/>
          <w:szCs w:val="20"/>
        </w:rPr>
        <w:t>ing</w:t>
      </w:r>
      <w:r w:rsidRPr="00BA7C2C">
        <w:rPr>
          <w:rFonts w:ascii="Arial" w:hAnsi="Arial" w:cs="Arial"/>
          <w:sz w:val="20"/>
          <w:szCs w:val="20"/>
        </w:rPr>
        <w:t xml:space="preserve"> 100% of the tota</w:t>
      </w:r>
      <w:r>
        <w:rPr>
          <w:rFonts w:ascii="Arial" w:hAnsi="Arial" w:cs="Arial"/>
          <w:sz w:val="20"/>
          <w:szCs w:val="20"/>
        </w:rPr>
        <w:t>l voting shares at the Meeting</w:t>
      </w:r>
    </w:p>
    <w:p w:rsidR="001C043B" w:rsidRDefault="00BA7C2C" w:rsidP="00F903A5">
      <w:pPr>
        <w:jc w:val="both"/>
        <w:rPr>
          <w:rFonts w:ascii="Arial" w:hAnsi="Arial" w:cs="Arial"/>
          <w:sz w:val="20"/>
          <w:szCs w:val="20"/>
        </w:rPr>
      </w:pPr>
      <w:r>
        <w:rPr>
          <w:rFonts w:ascii="Arial" w:hAnsi="Arial" w:cs="Arial"/>
          <w:sz w:val="20"/>
          <w:szCs w:val="20"/>
        </w:rPr>
        <w:t xml:space="preserve"> 3. </w:t>
      </w:r>
      <w:r w:rsidRPr="00BA7C2C">
        <w:rPr>
          <w:rFonts w:ascii="Arial" w:hAnsi="Arial" w:cs="Arial"/>
          <w:sz w:val="20"/>
          <w:szCs w:val="20"/>
        </w:rPr>
        <w:t xml:space="preserve">Remuneration of the Board of Directors, Board of Supervisors, </w:t>
      </w:r>
      <w:r w:rsidR="001C043B" w:rsidRPr="00BA7C2C">
        <w:rPr>
          <w:rFonts w:ascii="Arial" w:hAnsi="Arial" w:cs="Arial"/>
          <w:sz w:val="20"/>
          <w:szCs w:val="20"/>
        </w:rPr>
        <w:t>and Company</w:t>
      </w:r>
      <w:r w:rsidRPr="00BA7C2C">
        <w:rPr>
          <w:rFonts w:ascii="Arial" w:hAnsi="Arial" w:cs="Arial"/>
          <w:sz w:val="20"/>
          <w:szCs w:val="20"/>
        </w:rPr>
        <w:t xml:space="preserve"> Secretary in 2019: None due to</w:t>
      </w:r>
      <w:r w:rsidR="001C043B">
        <w:rPr>
          <w:rFonts w:ascii="Arial" w:hAnsi="Arial" w:cs="Arial"/>
          <w:sz w:val="20"/>
          <w:szCs w:val="20"/>
        </w:rPr>
        <w:t xml:space="preserve"> a large of</w:t>
      </w:r>
      <w:r w:rsidRPr="00BA7C2C">
        <w:rPr>
          <w:rFonts w:ascii="Arial" w:hAnsi="Arial" w:cs="Arial"/>
          <w:sz w:val="20"/>
          <w:szCs w:val="20"/>
        </w:rPr>
        <w:t xml:space="preserve"> th</w:t>
      </w:r>
      <w:r w:rsidR="001C043B">
        <w:rPr>
          <w:rFonts w:ascii="Arial" w:hAnsi="Arial" w:cs="Arial"/>
          <w:sz w:val="20"/>
          <w:szCs w:val="20"/>
        </w:rPr>
        <w:t>e Company</w:t>
      </w:r>
      <w:r w:rsidRPr="00BA7C2C">
        <w:rPr>
          <w:rFonts w:ascii="Arial" w:hAnsi="Arial" w:cs="Arial"/>
          <w:sz w:val="20"/>
          <w:szCs w:val="20"/>
        </w:rPr>
        <w:t xml:space="preserve">'s accumulated losses </w:t>
      </w:r>
    </w:p>
    <w:p w:rsidR="001C043B" w:rsidRDefault="001C043B" w:rsidP="00F903A5">
      <w:pPr>
        <w:jc w:val="both"/>
        <w:rPr>
          <w:rFonts w:ascii="Arial" w:hAnsi="Arial" w:cs="Arial"/>
          <w:sz w:val="20"/>
          <w:szCs w:val="20"/>
        </w:rPr>
      </w:pPr>
      <w:r>
        <w:rPr>
          <w:rFonts w:ascii="Arial" w:hAnsi="Arial" w:cs="Arial"/>
          <w:sz w:val="20"/>
          <w:szCs w:val="20"/>
        </w:rPr>
        <w:t xml:space="preserve">4. </w:t>
      </w:r>
      <w:r w:rsidR="00BA7C2C" w:rsidRPr="00BA7C2C">
        <w:rPr>
          <w:rFonts w:ascii="Arial" w:hAnsi="Arial" w:cs="Arial"/>
          <w:sz w:val="20"/>
          <w:szCs w:val="20"/>
        </w:rPr>
        <w:t xml:space="preserve">Remuneration of the Board of Directors, Board of Supervisors, Company Secretary 2020: </w:t>
      </w:r>
    </w:p>
    <w:p w:rsidR="001C043B" w:rsidRDefault="001C043B" w:rsidP="00F903A5">
      <w:pPr>
        <w:jc w:val="both"/>
        <w:rPr>
          <w:rFonts w:ascii="Arial" w:hAnsi="Arial" w:cs="Arial"/>
          <w:sz w:val="20"/>
          <w:szCs w:val="20"/>
        </w:rPr>
      </w:pPr>
      <w:r>
        <w:rPr>
          <w:rFonts w:ascii="Arial" w:hAnsi="Arial" w:cs="Arial"/>
          <w:sz w:val="20"/>
          <w:szCs w:val="20"/>
        </w:rPr>
        <w:t xml:space="preserve">According to Decision No.88/TCT-HDQT dated </w:t>
      </w:r>
      <w:r w:rsidR="00BA7C2C" w:rsidRPr="00BA7C2C">
        <w:rPr>
          <w:rFonts w:ascii="Arial" w:hAnsi="Arial" w:cs="Arial"/>
          <w:sz w:val="20"/>
          <w:szCs w:val="20"/>
        </w:rPr>
        <w:t xml:space="preserve">December 10, 2019 on promulgating the Regulation on representatives of </w:t>
      </w:r>
      <w:proofErr w:type="spellStart"/>
      <w:r w:rsidR="00BA7C2C" w:rsidRPr="00BA7C2C">
        <w:rPr>
          <w:rFonts w:ascii="Arial" w:hAnsi="Arial" w:cs="Arial"/>
          <w:sz w:val="20"/>
          <w:szCs w:val="20"/>
        </w:rPr>
        <w:t>Vigalcera</w:t>
      </w:r>
      <w:proofErr w:type="spellEnd"/>
      <w:r w:rsidR="00BA7C2C" w:rsidRPr="00BA7C2C">
        <w:rPr>
          <w:rFonts w:ascii="Arial" w:hAnsi="Arial" w:cs="Arial"/>
          <w:sz w:val="20"/>
          <w:szCs w:val="20"/>
        </w:rPr>
        <w:t xml:space="preserve"> Corporation </w:t>
      </w:r>
      <w:r>
        <w:rPr>
          <w:rFonts w:ascii="Arial" w:hAnsi="Arial" w:cs="Arial"/>
          <w:sz w:val="20"/>
          <w:szCs w:val="20"/>
        </w:rPr>
        <w:t>–</w:t>
      </w:r>
      <w:r w:rsidR="00BA7C2C" w:rsidRPr="00BA7C2C">
        <w:rPr>
          <w:rFonts w:ascii="Arial" w:hAnsi="Arial" w:cs="Arial"/>
          <w:sz w:val="20"/>
          <w:szCs w:val="20"/>
        </w:rPr>
        <w:t xml:space="preserve"> </w:t>
      </w:r>
      <w:r>
        <w:rPr>
          <w:rFonts w:ascii="Arial" w:hAnsi="Arial" w:cs="Arial"/>
          <w:sz w:val="20"/>
          <w:szCs w:val="20"/>
        </w:rPr>
        <w:t>Joint Stock Company</w:t>
      </w:r>
      <w:r w:rsidR="00BA7C2C" w:rsidRPr="00BA7C2C">
        <w:rPr>
          <w:rFonts w:ascii="Arial" w:hAnsi="Arial" w:cs="Arial"/>
          <w:sz w:val="20"/>
          <w:szCs w:val="20"/>
        </w:rPr>
        <w:t xml:space="preserve"> in other enterprises</w:t>
      </w:r>
    </w:p>
    <w:p w:rsidR="001C043B" w:rsidRDefault="00BA7C2C" w:rsidP="00F903A5">
      <w:pPr>
        <w:jc w:val="both"/>
        <w:rPr>
          <w:rFonts w:ascii="Arial" w:hAnsi="Arial" w:cs="Arial"/>
          <w:sz w:val="20"/>
          <w:szCs w:val="20"/>
        </w:rPr>
      </w:pPr>
      <w:r w:rsidRPr="00BA7C2C">
        <w:rPr>
          <w:rFonts w:ascii="Arial" w:hAnsi="Arial" w:cs="Arial"/>
          <w:sz w:val="20"/>
          <w:szCs w:val="20"/>
        </w:rPr>
        <w:t>- Based on the results of production and business in 2020, the remuneration paid to the Board of Directors, the Board of Supervisors and the Company Secretary will be submitted to the General Meeting of Shareholders in 2021.</w:t>
      </w:r>
    </w:p>
    <w:p w:rsidR="001C043B" w:rsidRDefault="00BA7C2C" w:rsidP="00F903A5">
      <w:pPr>
        <w:jc w:val="both"/>
        <w:rPr>
          <w:rFonts w:ascii="Arial" w:hAnsi="Arial" w:cs="Arial"/>
          <w:sz w:val="20"/>
          <w:szCs w:val="20"/>
        </w:rPr>
      </w:pPr>
      <w:r w:rsidRPr="00BA7C2C">
        <w:rPr>
          <w:rFonts w:ascii="Arial" w:hAnsi="Arial" w:cs="Arial"/>
          <w:sz w:val="20"/>
          <w:szCs w:val="20"/>
        </w:rPr>
        <w:t xml:space="preserve">The </w:t>
      </w:r>
      <w:r w:rsidR="001C043B">
        <w:rPr>
          <w:rFonts w:ascii="Arial" w:hAnsi="Arial" w:cs="Arial"/>
          <w:sz w:val="20"/>
          <w:szCs w:val="20"/>
        </w:rPr>
        <w:t>General Meeting of Shareholders</w:t>
      </w:r>
      <w:r w:rsidRPr="00BA7C2C">
        <w:rPr>
          <w:rFonts w:ascii="Arial" w:hAnsi="Arial" w:cs="Arial"/>
          <w:sz w:val="20"/>
          <w:szCs w:val="20"/>
        </w:rPr>
        <w:t xml:space="preserve"> voted with the percentage of voting shares reach</w:t>
      </w:r>
      <w:r w:rsidR="001C043B">
        <w:rPr>
          <w:rFonts w:ascii="Arial" w:hAnsi="Arial" w:cs="Arial"/>
          <w:sz w:val="20"/>
          <w:szCs w:val="20"/>
        </w:rPr>
        <w:t>ing</w:t>
      </w:r>
      <w:r w:rsidRPr="00BA7C2C">
        <w:rPr>
          <w:rFonts w:ascii="Arial" w:hAnsi="Arial" w:cs="Arial"/>
          <w:sz w:val="20"/>
          <w:szCs w:val="20"/>
        </w:rPr>
        <w:t xml:space="preserve"> 100% of the total voting shares at the Meeting</w:t>
      </w:r>
    </w:p>
    <w:p w:rsidR="001C043B" w:rsidRDefault="001C043B" w:rsidP="00F903A5">
      <w:pPr>
        <w:jc w:val="both"/>
        <w:rPr>
          <w:rFonts w:ascii="Arial" w:hAnsi="Arial" w:cs="Arial"/>
          <w:sz w:val="20"/>
          <w:szCs w:val="20"/>
        </w:rPr>
      </w:pPr>
      <w:r>
        <w:rPr>
          <w:rFonts w:ascii="Arial" w:hAnsi="Arial" w:cs="Arial"/>
          <w:sz w:val="20"/>
          <w:szCs w:val="20"/>
        </w:rPr>
        <w:t xml:space="preserve">5. </w:t>
      </w:r>
      <w:r w:rsidR="00BA7C2C" w:rsidRPr="00BA7C2C">
        <w:rPr>
          <w:rFonts w:ascii="Arial" w:hAnsi="Arial" w:cs="Arial"/>
          <w:sz w:val="20"/>
          <w:szCs w:val="20"/>
        </w:rPr>
        <w:t>Member of Board of Dire</w:t>
      </w:r>
      <w:r>
        <w:rPr>
          <w:rFonts w:ascii="Arial" w:hAnsi="Arial" w:cs="Arial"/>
          <w:sz w:val="20"/>
          <w:szCs w:val="20"/>
        </w:rPr>
        <w:t>ctors and Supervisory Board: No change</w:t>
      </w:r>
    </w:p>
    <w:p w:rsidR="001C043B" w:rsidRDefault="00BA7C2C" w:rsidP="00F903A5">
      <w:pPr>
        <w:jc w:val="both"/>
        <w:rPr>
          <w:rFonts w:ascii="Arial" w:hAnsi="Arial" w:cs="Arial"/>
          <w:sz w:val="20"/>
          <w:szCs w:val="20"/>
        </w:rPr>
      </w:pPr>
      <w:r w:rsidRPr="00BA7C2C">
        <w:rPr>
          <w:rFonts w:ascii="Arial" w:hAnsi="Arial" w:cs="Arial"/>
          <w:sz w:val="20"/>
          <w:szCs w:val="20"/>
        </w:rPr>
        <w:t>The General Meeting of Shareholders voted with the percentage of voting shares reach</w:t>
      </w:r>
      <w:r w:rsidR="001C043B">
        <w:rPr>
          <w:rFonts w:ascii="Arial" w:hAnsi="Arial" w:cs="Arial"/>
          <w:sz w:val="20"/>
          <w:szCs w:val="20"/>
        </w:rPr>
        <w:t>ing</w:t>
      </w:r>
      <w:r w:rsidRPr="00BA7C2C">
        <w:rPr>
          <w:rFonts w:ascii="Arial" w:hAnsi="Arial" w:cs="Arial"/>
          <w:sz w:val="20"/>
          <w:szCs w:val="20"/>
        </w:rPr>
        <w:t xml:space="preserve"> 100% of the total voting shares at the Meeting,</w:t>
      </w:r>
    </w:p>
    <w:p w:rsidR="001C043B" w:rsidRDefault="001C043B" w:rsidP="00F903A5">
      <w:pPr>
        <w:jc w:val="both"/>
        <w:rPr>
          <w:rFonts w:ascii="Arial" w:hAnsi="Arial" w:cs="Arial"/>
          <w:sz w:val="20"/>
          <w:szCs w:val="20"/>
        </w:rPr>
      </w:pPr>
      <w:r>
        <w:rPr>
          <w:rFonts w:ascii="Arial" w:hAnsi="Arial" w:cs="Arial"/>
          <w:sz w:val="20"/>
          <w:szCs w:val="20"/>
        </w:rPr>
        <w:t xml:space="preserve">6. </w:t>
      </w:r>
      <w:r w:rsidR="00BA7C2C" w:rsidRPr="00BA7C2C">
        <w:rPr>
          <w:rFonts w:ascii="Arial" w:hAnsi="Arial" w:cs="Arial"/>
          <w:sz w:val="20"/>
          <w:szCs w:val="20"/>
        </w:rPr>
        <w:t>Selecting an audi</w:t>
      </w:r>
      <w:r>
        <w:rPr>
          <w:rFonts w:ascii="Arial" w:hAnsi="Arial" w:cs="Arial"/>
          <w:sz w:val="20"/>
          <w:szCs w:val="20"/>
        </w:rPr>
        <w:t>t unit for the fiscal year 2020</w:t>
      </w:r>
    </w:p>
    <w:p w:rsidR="001C043B" w:rsidRDefault="00BA7C2C" w:rsidP="00F903A5">
      <w:pPr>
        <w:jc w:val="both"/>
        <w:rPr>
          <w:rFonts w:ascii="Arial" w:hAnsi="Arial" w:cs="Arial"/>
          <w:sz w:val="20"/>
          <w:szCs w:val="20"/>
        </w:rPr>
      </w:pPr>
      <w:r w:rsidRPr="00BA7C2C">
        <w:rPr>
          <w:rFonts w:ascii="Arial" w:hAnsi="Arial" w:cs="Arial"/>
          <w:sz w:val="20"/>
          <w:szCs w:val="20"/>
        </w:rPr>
        <w:t xml:space="preserve">- The General Meeting of Shareholders approved the selection of </w:t>
      </w:r>
      <w:r w:rsidR="001C043B" w:rsidRPr="00BA7C2C">
        <w:rPr>
          <w:rFonts w:ascii="Arial" w:hAnsi="Arial" w:cs="Arial"/>
          <w:sz w:val="20"/>
          <w:szCs w:val="20"/>
        </w:rPr>
        <w:t xml:space="preserve">AASC </w:t>
      </w:r>
      <w:r w:rsidRPr="00BA7C2C">
        <w:rPr>
          <w:rFonts w:ascii="Arial" w:hAnsi="Arial" w:cs="Arial"/>
          <w:sz w:val="20"/>
          <w:szCs w:val="20"/>
        </w:rPr>
        <w:t>Auditing Firm Co., Ltd. (</w:t>
      </w:r>
      <w:r w:rsidR="001C043B">
        <w:rPr>
          <w:rFonts w:ascii="Arial" w:hAnsi="Arial" w:cs="Arial"/>
          <w:sz w:val="20"/>
          <w:szCs w:val="20"/>
        </w:rPr>
        <w:t>AASC) as the auditor for</w:t>
      </w:r>
      <w:r w:rsidRPr="00BA7C2C">
        <w:rPr>
          <w:rFonts w:ascii="Arial" w:hAnsi="Arial" w:cs="Arial"/>
          <w:sz w:val="20"/>
          <w:szCs w:val="20"/>
        </w:rPr>
        <w:t xml:space="preserve"> the financial statements of 2020 (including the review of quarterly financial statements) for the Company </w:t>
      </w:r>
    </w:p>
    <w:p w:rsidR="00BA7C2C" w:rsidRDefault="00BA7C2C" w:rsidP="00F903A5">
      <w:pPr>
        <w:jc w:val="both"/>
        <w:rPr>
          <w:rFonts w:ascii="Arial" w:hAnsi="Arial" w:cs="Arial"/>
          <w:sz w:val="20"/>
          <w:szCs w:val="20"/>
        </w:rPr>
      </w:pPr>
      <w:r w:rsidRPr="00BA7C2C">
        <w:rPr>
          <w:rFonts w:ascii="Arial" w:hAnsi="Arial" w:cs="Arial"/>
          <w:sz w:val="20"/>
          <w:szCs w:val="20"/>
        </w:rPr>
        <w:t xml:space="preserve">- </w:t>
      </w:r>
      <w:r w:rsidR="001C043B">
        <w:rPr>
          <w:rFonts w:ascii="Arial" w:hAnsi="Arial" w:cs="Arial"/>
          <w:sz w:val="20"/>
          <w:szCs w:val="20"/>
        </w:rPr>
        <w:t>Authorize</w:t>
      </w:r>
      <w:r w:rsidRPr="00BA7C2C">
        <w:rPr>
          <w:rFonts w:ascii="Arial" w:hAnsi="Arial" w:cs="Arial"/>
          <w:sz w:val="20"/>
          <w:szCs w:val="20"/>
        </w:rPr>
        <w:t xml:space="preserve"> the Company Director to negotiate and sign contrac</w:t>
      </w:r>
      <w:r w:rsidR="001C043B">
        <w:rPr>
          <w:rFonts w:ascii="Arial" w:hAnsi="Arial" w:cs="Arial"/>
          <w:sz w:val="20"/>
          <w:szCs w:val="20"/>
        </w:rPr>
        <w:t>ts according to the current law</w:t>
      </w:r>
    </w:p>
    <w:p w:rsidR="001C043B" w:rsidRDefault="001C043B" w:rsidP="00F903A5">
      <w:pPr>
        <w:jc w:val="both"/>
        <w:rPr>
          <w:rFonts w:ascii="Arial" w:hAnsi="Arial" w:cs="Arial"/>
          <w:sz w:val="20"/>
          <w:szCs w:val="20"/>
        </w:rPr>
      </w:pPr>
      <w:r w:rsidRPr="001C043B">
        <w:rPr>
          <w:rFonts w:ascii="Arial" w:hAnsi="Arial" w:cs="Arial"/>
          <w:sz w:val="20"/>
          <w:szCs w:val="20"/>
        </w:rPr>
        <w:t>- In case of replac</w:t>
      </w:r>
      <w:r>
        <w:rPr>
          <w:rFonts w:ascii="Arial" w:hAnsi="Arial" w:cs="Arial"/>
          <w:sz w:val="20"/>
          <w:szCs w:val="20"/>
        </w:rPr>
        <w:t>ing</w:t>
      </w:r>
      <w:r w:rsidRPr="001C043B">
        <w:rPr>
          <w:rFonts w:ascii="Arial" w:hAnsi="Arial" w:cs="Arial"/>
          <w:sz w:val="20"/>
          <w:szCs w:val="20"/>
        </w:rPr>
        <w:t xml:space="preserve"> the auditing unit, the General Meeting of Shareholders authorizes the Board of Directors to select the replacement (one of the units named in the list</w:t>
      </w:r>
      <w:r>
        <w:rPr>
          <w:rFonts w:ascii="Arial" w:hAnsi="Arial" w:cs="Arial"/>
          <w:sz w:val="20"/>
          <w:szCs w:val="20"/>
        </w:rPr>
        <w:t xml:space="preserve"> of independent auditing units</w:t>
      </w:r>
      <w:r w:rsidRPr="001C043B">
        <w:rPr>
          <w:rFonts w:ascii="Arial" w:hAnsi="Arial" w:cs="Arial"/>
          <w:sz w:val="20"/>
          <w:szCs w:val="20"/>
        </w:rPr>
        <w:t xml:space="preserve">  approved by </w:t>
      </w:r>
      <w:r>
        <w:rPr>
          <w:rFonts w:ascii="Arial" w:hAnsi="Arial" w:cs="Arial"/>
          <w:sz w:val="20"/>
          <w:szCs w:val="20"/>
        </w:rPr>
        <w:t xml:space="preserve">the State Securities Committee for </w:t>
      </w:r>
      <w:r w:rsidRPr="001C043B">
        <w:rPr>
          <w:rFonts w:ascii="Arial" w:hAnsi="Arial" w:cs="Arial"/>
          <w:sz w:val="20"/>
          <w:szCs w:val="20"/>
        </w:rPr>
        <w:t>auditing listed companies)</w:t>
      </w:r>
    </w:p>
    <w:p w:rsidR="001C043B" w:rsidRDefault="001C043B" w:rsidP="00F903A5">
      <w:pPr>
        <w:jc w:val="both"/>
        <w:rPr>
          <w:rFonts w:ascii="Arial" w:hAnsi="Arial" w:cs="Arial"/>
          <w:sz w:val="20"/>
          <w:szCs w:val="20"/>
        </w:rPr>
      </w:pPr>
      <w:r w:rsidRPr="001C043B">
        <w:rPr>
          <w:rFonts w:ascii="Arial" w:hAnsi="Arial" w:cs="Arial"/>
          <w:sz w:val="20"/>
          <w:szCs w:val="20"/>
        </w:rPr>
        <w:t>The General Meeting of Shareholders voted with the percentage of voting shares reach</w:t>
      </w:r>
      <w:r>
        <w:rPr>
          <w:rFonts w:ascii="Arial" w:hAnsi="Arial" w:cs="Arial"/>
          <w:sz w:val="20"/>
          <w:szCs w:val="20"/>
        </w:rPr>
        <w:t>ing</w:t>
      </w:r>
      <w:r w:rsidRPr="001C043B">
        <w:rPr>
          <w:rFonts w:ascii="Arial" w:hAnsi="Arial" w:cs="Arial"/>
          <w:sz w:val="20"/>
          <w:szCs w:val="20"/>
        </w:rPr>
        <w:t xml:space="preserve"> 100% of the tot</w:t>
      </w:r>
      <w:r>
        <w:rPr>
          <w:rFonts w:ascii="Arial" w:hAnsi="Arial" w:cs="Arial"/>
          <w:sz w:val="20"/>
          <w:szCs w:val="20"/>
        </w:rPr>
        <w:t>al voting shares at the Meeting</w:t>
      </w:r>
    </w:p>
    <w:p w:rsidR="001C043B" w:rsidRDefault="001C043B" w:rsidP="00F903A5">
      <w:pPr>
        <w:jc w:val="both"/>
        <w:rPr>
          <w:rFonts w:ascii="Arial" w:hAnsi="Arial" w:cs="Arial"/>
          <w:sz w:val="20"/>
          <w:szCs w:val="20"/>
        </w:rPr>
      </w:pPr>
      <w:r w:rsidRPr="001C043B">
        <w:rPr>
          <w:rFonts w:ascii="Arial" w:hAnsi="Arial" w:cs="Arial"/>
          <w:sz w:val="20"/>
          <w:szCs w:val="20"/>
        </w:rPr>
        <w:t xml:space="preserve">Article 2: Implementation provisions </w:t>
      </w:r>
    </w:p>
    <w:p w:rsidR="001C043B" w:rsidRDefault="001C043B" w:rsidP="00F903A5">
      <w:pPr>
        <w:jc w:val="both"/>
        <w:rPr>
          <w:rFonts w:ascii="Arial" w:hAnsi="Arial" w:cs="Arial"/>
          <w:sz w:val="20"/>
          <w:szCs w:val="20"/>
        </w:rPr>
      </w:pPr>
      <w:r w:rsidRPr="001C043B">
        <w:rPr>
          <w:rFonts w:ascii="Arial" w:hAnsi="Arial" w:cs="Arial"/>
          <w:sz w:val="20"/>
          <w:szCs w:val="20"/>
        </w:rPr>
        <w:t xml:space="preserve">- </w:t>
      </w:r>
      <w:r>
        <w:rPr>
          <w:rFonts w:ascii="Arial" w:hAnsi="Arial" w:cs="Arial"/>
          <w:sz w:val="20"/>
          <w:szCs w:val="20"/>
        </w:rPr>
        <w:t>General Mandate 2020</w:t>
      </w:r>
      <w:r w:rsidRPr="001C043B">
        <w:rPr>
          <w:rFonts w:ascii="Arial" w:hAnsi="Arial" w:cs="Arial"/>
          <w:sz w:val="20"/>
          <w:szCs w:val="20"/>
        </w:rPr>
        <w:t xml:space="preserve"> of </w:t>
      </w:r>
      <w:proofErr w:type="spellStart"/>
      <w:r w:rsidRPr="001C043B">
        <w:rPr>
          <w:rFonts w:ascii="Arial" w:hAnsi="Arial" w:cs="Arial"/>
          <w:sz w:val="20"/>
          <w:szCs w:val="20"/>
        </w:rPr>
        <w:t>Viglacera</w:t>
      </w:r>
      <w:proofErr w:type="spellEnd"/>
      <w:r w:rsidRPr="001C043B">
        <w:rPr>
          <w:rFonts w:ascii="Arial" w:hAnsi="Arial" w:cs="Arial"/>
          <w:sz w:val="20"/>
          <w:szCs w:val="20"/>
        </w:rPr>
        <w:t xml:space="preserve"> Dong </w:t>
      </w:r>
      <w:proofErr w:type="spellStart"/>
      <w:r w:rsidRPr="001C043B">
        <w:rPr>
          <w:rFonts w:ascii="Arial" w:hAnsi="Arial" w:cs="Arial"/>
          <w:sz w:val="20"/>
          <w:szCs w:val="20"/>
        </w:rPr>
        <w:t>Anh</w:t>
      </w:r>
      <w:proofErr w:type="spellEnd"/>
      <w:r w:rsidRPr="001C043B">
        <w:rPr>
          <w:rFonts w:ascii="Arial" w:hAnsi="Arial" w:cs="Arial"/>
          <w:sz w:val="20"/>
          <w:szCs w:val="20"/>
        </w:rPr>
        <w:t xml:space="preserve"> Joint Stock Company takes effect from March 19, 2020</w:t>
      </w:r>
    </w:p>
    <w:p w:rsidR="001C043B" w:rsidRDefault="001C043B" w:rsidP="00F903A5">
      <w:pPr>
        <w:jc w:val="both"/>
        <w:rPr>
          <w:rFonts w:ascii="Arial" w:hAnsi="Arial" w:cs="Arial"/>
          <w:sz w:val="20"/>
          <w:szCs w:val="20"/>
        </w:rPr>
      </w:pPr>
      <w:r w:rsidRPr="001C043B">
        <w:rPr>
          <w:rFonts w:ascii="Arial" w:hAnsi="Arial" w:cs="Arial"/>
          <w:sz w:val="20"/>
          <w:szCs w:val="20"/>
        </w:rPr>
        <w:t>- The General</w:t>
      </w:r>
      <w:r>
        <w:rPr>
          <w:rFonts w:ascii="Arial" w:hAnsi="Arial" w:cs="Arial"/>
          <w:sz w:val="20"/>
          <w:szCs w:val="20"/>
        </w:rPr>
        <w:t xml:space="preserve"> Meeting of Shareholders assigned</w:t>
      </w:r>
      <w:r w:rsidRPr="001C043B">
        <w:rPr>
          <w:rFonts w:ascii="Arial" w:hAnsi="Arial" w:cs="Arial"/>
          <w:sz w:val="20"/>
          <w:szCs w:val="20"/>
        </w:rPr>
        <w:t xml:space="preserve"> the Board of Directors of the Company and the Board of Management to carry out the contents stated in Article 1 of the </w:t>
      </w:r>
      <w:r>
        <w:rPr>
          <w:rFonts w:ascii="Arial" w:hAnsi="Arial" w:cs="Arial"/>
          <w:sz w:val="20"/>
          <w:szCs w:val="20"/>
        </w:rPr>
        <w:t>General Mandate</w:t>
      </w:r>
      <w:r w:rsidRPr="001C043B">
        <w:rPr>
          <w:rFonts w:ascii="Arial" w:hAnsi="Arial" w:cs="Arial"/>
          <w:sz w:val="20"/>
          <w:szCs w:val="20"/>
        </w:rPr>
        <w:t xml:space="preserve"> according to the Com</w:t>
      </w:r>
      <w:r>
        <w:rPr>
          <w:rFonts w:ascii="Arial" w:hAnsi="Arial" w:cs="Arial"/>
          <w:sz w:val="20"/>
          <w:szCs w:val="20"/>
        </w:rPr>
        <w:t>pany's Charter and current laws</w:t>
      </w:r>
    </w:p>
    <w:p w:rsidR="001C043B" w:rsidRDefault="001C043B" w:rsidP="00F903A5">
      <w:pPr>
        <w:jc w:val="both"/>
        <w:rPr>
          <w:rFonts w:ascii="Arial" w:hAnsi="Arial" w:cs="Arial"/>
          <w:sz w:val="20"/>
          <w:szCs w:val="20"/>
        </w:rPr>
      </w:pPr>
      <w:r w:rsidRPr="001C043B">
        <w:rPr>
          <w:rFonts w:ascii="Arial" w:hAnsi="Arial" w:cs="Arial"/>
          <w:sz w:val="20"/>
          <w:szCs w:val="20"/>
        </w:rPr>
        <w:t xml:space="preserve">- This </w:t>
      </w:r>
      <w:r>
        <w:rPr>
          <w:rFonts w:ascii="Arial" w:hAnsi="Arial" w:cs="Arial"/>
          <w:sz w:val="20"/>
          <w:szCs w:val="20"/>
        </w:rPr>
        <w:t>General Mandate</w:t>
      </w:r>
      <w:r w:rsidRPr="001C043B">
        <w:rPr>
          <w:rFonts w:ascii="Arial" w:hAnsi="Arial" w:cs="Arial"/>
          <w:sz w:val="20"/>
          <w:szCs w:val="20"/>
        </w:rPr>
        <w:t xml:space="preserve"> was approved by the Annual General Meeting of Shareholders of </w:t>
      </w:r>
      <w:proofErr w:type="spellStart"/>
      <w:r w:rsidRPr="001C043B">
        <w:rPr>
          <w:rFonts w:ascii="Arial" w:hAnsi="Arial" w:cs="Arial"/>
          <w:sz w:val="20"/>
          <w:szCs w:val="20"/>
        </w:rPr>
        <w:t>Viglacera</w:t>
      </w:r>
      <w:proofErr w:type="spellEnd"/>
      <w:r w:rsidRPr="001C043B">
        <w:rPr>
          <w:rFonts w:ascii="Arial" w:hAnsi="Arial" w:cs="Arial"/>
          <w:sz w:val="20"/>
          <w:szCs w:val="20"/>
        </w:rPr>
        <w:t xml:space="preserve"> Dong </w:t>
      </w:r>
      <w:proofErr w:type="spellStart"/>
      <w:r w:rsidRPr="001C043B">
        <w:rPr>
          <w:rFonts w:ascii="Arial" w:hAnsi="Arial" w:cs="Arial"/>
          <w:sz w:val="20"/>
          <w:szCs w:val="20"/>
        </w:rPr>
        <w:t>An</w:t>
      </w:r>
      <w:r>
        <w:rPr>
          <w:rFonts w:ascii="Arial" w:hAnsi="Arial" w:cs="Arial"/>
          <w:sz w:val="20"/>
          <w:szCs w:val="20"/>
        </w:rPr>
        <w:t>h</w:t>
      </w:r>
      <w:proofErr w:type="spellEnd"/>
      <w:r>
        <w:rPr>
          <w:rFonts w:ascii="Arial" w:hAnsi="Arial" w:cs="Arial"/>
          <w:sz w:val="20"/>
          <w:szCs w:val="20"/>
        </w:rPr>
        <w:t xml:space="preserve"> Joint Stock Company in 2020</w:t>
      </w:r>
      <w:bookmarkStart w:id="0" w:name="_GoBack"/>
      <w:bookmarkEnd w:id="0"/>
    </w:p>
    <w:sectPr w:rsidR="001C0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55D99"/>
    <w:multiLevelType w:val="hybridMultilevel"/>
    <w:tmpl w:val="EEE67940"/>
    <w:lvl w:ilvl="0" w:tplc="2850FA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A423E1"/>
    <w:multiLevelType w:val="hybridMultilevel"/>
    <w:tmpl w:val="490A75E4"/>
    <w:lvl w:ilvl="0" w:tplc="2850FA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A0B74"/>
    <w:rsid w:val="000D550F"/>
    <w:rsid w:val="00132EC5"/>
    <w:rsid w:val="001C043B"/>
    <w:rsid w:val="002D53EE"/>
    <w:rsid w:val="002E7FD0"/>
    <w:rsid w:val="00304722"/>
    <w:rsid w:val="00327CF7"/>
    <w:rsid w:val="00390E9F"/>
    <w:rsid w:val="00397004"/>
    <w:rsid w:val="003A5CE9"/>
    <w:rsid w:val="003B73F7"/>
    <w:rsid w:val="00467BC0"/>
    <w:rsid w:val="00496733"/>
    <w:rsid w:val="004B2BA6"/>
    <w:rsid w:val="00503DD6"/>
    <w:rsid w:val="0058434E"/>
    <w:rsid w:val="005B40E5"/>
    <w:rsid w:val="00653477"/>
    <w:rsid w:val="006E15A6"/>
    <w:rsid w:val="00745D9A"/>
    <w:rsid w:val="007A1FCC"/>
    <w:rsid w:val="007B67AF"/>
    <w:rsid w:val="008134FC"/>
    <w:rsid w:val="0084485C"/>
    <w:rsid w:val="00853748"/>
    <w:rsid w:val="008544C2"/>
    <w:rsid w:val="00911C0D"/>
    <w:rsid w:val="009C28F2"/>
    <w:rsid w:val="009E1744"/>
    <w:rsid w:val="009E5B59"/>
    <w:rsid w:val="00A06443"/>
    <w:rsid w:val="00A06521"/>
    <w:rsid w:val="00A128FC"/>
    <w:rsid w:val="00A63B6C"/>
    <w:rsid w:val="00AA54AD"/>
    <w:rsid w:val="00AB6A00"/>
    <w:rsid w:val="00AE21B7"/>
    <w:rsid w:val="00AF67BE"/>
    <w:rsid w:val="00B70D7E"/>
    <w:rsid w:val="00BA1F12"/>
    <w:rsid w:val="00BA3FB7"/>
    <w:rsid w:val="00BA7C2C"/>
    <w:rsid w:val="00BD3CCA"/>
    <w:rsid w:val="00C72C3A"/>
    <w:rsid w:val="00CB18FC"/>
    <w:rsid w:val="00CD5508"/>
    <w:rsid w:val="00D52C26"/>
    <w:rsid w:val="00D702CC"/>
    <w:rsid w:val="00D74339"/>
    <w:rsid w:val="00F320D6"/>
    <w:rsid w:val="00F86F7A"/>
    <w:rsid w:val="00F903A5"/>
    <w:rsid w:val="00FD3EED"/>
    <w:rsid w:val="00FD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17AA3-204A-4913-A95F-94E182AC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Windows User</cp:lastModifiedBy>
  <cp:revision>52</cp:revision>
  <dcterms:created xsi:type="dcterms:W3CDTF">2019-10-16T10:03:00Z</dcterms:created>
  <dcterms:modified xsi:type="dcterms:W3CDTF">2020-03-23T08:15:00Z</dcterms:modified>
</cp:coreProperties>
</file>